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40" w:rsidRPr="009B625C" w:rsidRDefault="00C87AA8" w:rsidP="00E67240">
      <w:pPr>
        <w:jc w:val="center"/>
        <w:rPr>
          <w:sz w:val="22"/>
          <w:szCs w:val="22"/>
        </w:rPr>
      </w:pPr>
      <w:r w:rsidRPr="009B625C">
        <w:rPr>
          <w:noProof/>
          <w:sz w:val="22"/>
          <w:szCs w:val="22"/>
          <w:lang w:val="en-GB"/>
        </w:rPr>
        <w:drawing>
          <wp:inline distT="0" distB="0" distL="0" distR="0" wp14:anchorId="2059CDF3" wp14:editId="303E98B4">
            <wp:extent cx="1009015" cy="948690"/>
            <wp:effectExtent l="19050" t="0" r="635" b="0"/>
            <wp:docPr id="1" name="Picture 1" descr="ssfhgr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hgrey2"/>
                    <pic:cNvPicPr>
                      <a:picLocks noChangeAspect="1" noChangeArrowheads="1"/>
                    </pic:cNvPicPr>
                  </pic:nvPicPr>
                  <pic:blipFill>
                    <a:blip r:embed="rId5" cstate="print"/>
                    <a:srcRect/>
                    <a:stretch>
                      <a:fillRect/>
                    </a:stretch>
                  </pic:blipFill>
                  <pic:spPr bwMode="auto">
                    <a:xfrm>
                      <a:off x="0" y="0"/>
                      <a:ext cx="1009015" cy="948690"/>
                    </a:xfrm>
                    <a:prstGeom prst="rect">
                      <a:avLst/>
                    </a:prstGeom>
                    <a:noFill/>
                    <a:ln w="9525">
                      <a:noFill/>
                      <a:miter lim="800000"/>
                      <a:headEnd/>
                      <a:tailEnd/>
                    </a:ln>
                  </pic:spPr>
                </pic:pic>
              </a:graphicData>
            </a:graphic>
          </wp:inline>
        </w:drawing>
      </w:r>
    </w:p>
    <w:p w:rsidR="00E67240" w:rsidRPr="006F073B" w:rsidRDefault="00E67240" w:rsidP="00E67240">
      <w:pPr>
        <w:pStyle w:val="Caption"/>
        <w:rPr>
          <w:rFonts w:ascii="Times New Roman" w:hAnsi="Times New Roman"/>
          <w:sz w:val="32"/>
          <w:szCs w:val="32"/>
        </w:rPr>
      </w:pPr>
      <w:r w:rsidRPr="006F073B">
        <w:rPr>
          <w:rFonts w:ascii="Times New Roman" w:hAnsi="Times New Roman"/>
          <w:sz w:val="32"/>
          <w:szCs w:val="32"/>
        </w:rPr>
        <w:t>The Society for the Study of French History</w:t>
      </w:r>
    </w:p>
    <w:p w:rsidR="002C523D" w:rsidRDefault="002C523D" w:rsidP="00E67240">
      <w:pPr>
        <w:jc w:val="center"/>
        <w:rPr>
          <w:b/>
          <w:sz w:val="22"/>
          <w:szCs w:val="22"/>
        </w:rPr>
      </w:pPr>
    </w:p>
    <w:p w:rsidR="00286905" w:rsidRPr="009B625C" w:rsidRDefault="002C523D" w:rsidP="00E67240">
      <w:pPr>
        <w:jc w:val="center"/>
        <w:rPr>
          <w:b/>
          <w:sz w:val="22"/>
          <w:szCs w:val="22"/>
        </w:rPr>
      </w:pPr>
      <w:r>
        <w:rPr>
          <w:b/>
          <w:sz w:val="22"/>
          <w:szCs w:val="22"/>
        </w:rPr>
        <w:t>AGM</w:t>
      </w:r>
      <w:r w:rsidR="00E67240" w:rsidRPr="009B625C">
        <w:rPr>
          <w:b/>
          <w:sz w:val="22"/>
          <w:szCs w:val="22"/>
        </w:rPr>
        <w:t xml:space="preserve">, </w:t>
      </w:r>
    </w:p>
    <w:p w:rsidR="00E67240" w:rsidRPr="009B625C" w:rsidRDefault="00A25CE0" w:rsidP="00E67240">
      <w:pPr>
        <w:jc w:val="center"/>
        <w:rPr>
          <w:b/>
          <w:sz w:val="22"/>
          <w:szCs w:val="22"/>
        </w:rPr>
      </w:pPr>
      <w:r>
        <w:rPr>
          <w:b/>
          <w:sz w:val="22"/>
          <w:szCs w:val="22"/>
        </w:rPr>
        <w:t>8.40 a.m.</w:t>
      </w:r>
      <w:r w:rsidR="00286905" w:rsidRPr="009B625C">
        <w:rPr>
          <w:b/>
          <w:sz w:val="22"/>
          <w:szCs w:val="22"/>
        </w:rPr>
        <w:t xml:space="preserve">, </w:t>
      </w:r>
      <w:r>
        <w:rPr>
          <w:b/>
          <w:sz w:val="22"/>
          <w:szCs w:val="22"/>
        </w:rPr>
        <w:t>Monday 29</w:t>
      </w:r>
      <w:r w:rsidR="006924CF">
        <w:rPr>
          <w:b/>
          <w:sz w:val="22"/>
          <w:szCs w:val="22"/>
        </w:rPr>
        <w:t xml:space="preserve"> June 2015</w:t>
      </w:r>
    </w:p>
    <w:p w:rsidR="00E67240" w:rsidRPr="009B625C" w:rsidRDefault="00A25CE0" w:rsidP="00286905">
      <w:pPr>
        <w:jc w:val="center"/>
        <w:rPr>
          <w:b/>
          <w:sz w:val="22"/>
          <w:szCs w:val="22"/>
        </w:rPr>
      </w:pPr>
      <w:r>
        <w:rPr>
          <w:b/>
          <w:sz w:val="22"/>
          <w:szCs w:val="22"/>
        </w:rPr>
        <w:t>School III</w:t>
      </w:r>
      <w:r w:rsidR="006924CF">
        <w:rPr>
          <w:b/>
          <w:sz w:val="22"/>
          <w:szCs w:val="22"/>
        </w:rPr>
        <w:t xml:space="preserve">, St </w:t>
      </w:r>
      <w:r>
        <w:rPr>
          <w:b/>
          <w:sz w:val="22"/>
          <w:szCs w:val="22"/>
        </w:rPr>
        <w:t>Salvator’s Quad</w:t>
      </w:r>
      <w:r w:rsidR="006924CF">
        <w:rPr>
          <w:b/>
          <w:sz w:val="22"/>
          <w:szCs w:val="22"/>
        </w:rPr>
        <w:t>, St Andrews</w:t>
      </w:r>
    </w:p>
    <w:p w:rsidR="00E67240" w:rsidRDefault="00E67240" w:rsidP="00E67240">
      <w:pPr>
        <w:jc w:val="center"/>
        <w:rPr>
          <w:b/>
          <w:sz w:val="22"/>
          <w:szCs w:val="22"/>
        </w:rPr>
      </w:pPr>
    </w:p>
    <w:p w:rsidR="006F073B" w:rsidRPr="009B625C" w:rsidRDefault="006F073B" w:rsidP="00E67240">
      <w:pPr>
        <w:jc w:val="center"/>
        <w:rPr>
          <w:b/>
          <w:sz w:val="22"/>
          <w:szCs w:val="22"/>
        </w:rPr>
      </w:pPr>
    </w:p>
    <w:p w:rsidR="00E67240" w:rsidRPr="009B625C" w:rsidRDefault="001A4C44" w:rsidP="00E67240">
      <w:pPr>
        <w:pStyle w:val="Heading2"/>
        <w:rPr>
          <w:sz w:val="24"/>
          <w:szCs w:val="24"/>
        </w:rPr>
      </w:pPr>
      <w:r>
        <w:rPr>
          <w:sz w:val="24"/>
          <w:szCs w:val="24"/>
        </w:rPr>
        <w:t>MINUTES</w:t>
      </w:r>
    </w:p>
    <w:p w:rsidR="00910EF0" w:rsidRDefault="00910EF0" w:rsidP="00910EF0">
      <w:pPr>
        <w:rPr>
          <w:sz w:val="24"/>
          <w:szCs w:val="24"/>
        </w:rPr>
      </w:pPr>
    </w:p>
    <w:p w:rsidR="001A4C44" w:rsidRDefault="001A4C44" w:rsidP="00910EF0">
      <w:pPr>
        <w:rPr>
          <w:b/>
          <w:sz w:val="24"/>
          <w:szCs w:val="24"/>
        </w:rPr>
      </w:pPr>
      <w:r w:rsidRPr="002073F9">
        <w:rPr>
          <w:b/>
          <w:sz w:val="24"/>
          <w:szCs w:val="24"/>
        </w:rPr>
        <w:t xml:space="preserve">Present: </w:t>
      </w:r>
      <w:r w:rsidRPr="002073F9">
        <w:rPr>
          <w:b/>
          <w:sz w:val="24"/>
          <w:szCs w:val="24"/>
        </w:rPr>
        <w:t>Mái</w:t>
      </w:r>
      <w:r w:rsidRPr="002073F9">
        <w:rPr>
          <w:b/>
          <w:sz w:val="24"/>
          <w:szCs w:val="24"/>
        </w:rPr>
        <w:t xml:space="preserve">re Cross (Chair), Claire Eldridge, Penny Roberts, Julian Wright, Sandy Wilkinson, Joe Bergin, Mason Norton, Lori Oates, Ellen Crabtree, Malcolm Crook and Norman Ingram.  </w:t>
      </w:r>
    </w:p>
    <w:p w:rsidR="00EC7A92" w:rsidRPr="00EC7A92" w:rsidRDefault="00EC7A92" w:rsidP="00910EF0">
      <w:pPr>
        <w:rPr>
          <w:sz w:val="24"/>
          <w:szCs w:val="24"/>
        </w:rPr>
      </w:pPr>
    </w:p>
    <w:p w:rsidR="002073F9" w:rsidRDefault="002073F9" w:rsidP="00910EF0">
      <w:pPr>
        <w:rPr>
          <w:b/>
          <w:sz w:val="24"/>
          <w:szCs w:val="24"/>
        </w:rPr>
      </w:pPr>
    </w:p>
    <w:p w:rsidR="002073F9" w:rsidRPr="00B63188" w:rsidRDefault="002073F9" w:rsidP="00910EF0">
      <w:pPr>
        <w:rPr>
          <w:sz w:val="24"/>
          <w:szCs w:val="24"/>
        </w:rPr>
      </w:pPr>
      <w:r w:rsidRPr="00B63188">
        <w:rPr>
          <w:sz w:val="24"/>
          <w:szCs w:val="24"/>
        </w:rPr>
        <w:t xml:space="preserve">Copies of all submitted reports by officers of the Society were circulated or otherwise made available for consultation.  These are reproduced below.  </w:t>
      </w:r>
    </w:p>
    <w:p w:rsidR="002073F9" w:rsidRPr="00B63188" w:rsidRDefault="002073F9" w:rsidP="00910EF0">
      <w:pPr>
        <w:rPr>
          <w:sz w:val="24"/>
          <w:szCs w:val="24"/>
        </w:rPr>
      </w:pPr>
    </w:p>
    <w:p w:rsidR="002073F9" w:rsidRPr="00B63188" w:rsidRDefault="002073F9" w:rsidP="00910EF0">
      <w:pPr>
        <w:rPr>
          <w:sz w:val="24"/>
          <w:szCs w:val="24"/>
        </w:rPr>
      </w:pPr>
    </w:p>
    <w:p w:rsidR="00E67240" w:rsidRPr="00B63188" w:rsidRDefault="00E67240" w:rsidP="00E67240">
      <w:pPr>
        <w:rPr>
          <w:b/>
          <w:sz w:val="24"/>
          <w:szCs w:val="24"/>
        </w:rPr>
      </w:pPr>
    </w:p>
    <w:p w:rsidR="00B27950" w:rsidRPr="00B63188" w:rsidRDefault="00B27950" w:rsidP="004D4F25">
      <w:pPr>
        <w:numPr>
          <w:ilvl w:val="0"/>
          <w:numId w:val="1"/>
        </w:numPr>
        <w:rPr>
          <w:b/>
          <w:sz w:val="24"/>
          <w:szCs w:val="24"/>
        </w:rPr>
      </w:pPr>
      <w:r w:rsidRPr="00B63188">
        <w:rPr>
          <w:b/>
          <w:sz w:val="24"/>
          <w:szCs w:val="24"/>
        </w:rPr>
        <w:t xml:space="preserve">Minutes </w:t>
      </w:r>
    </w:p>
    <w:p w:rsidR="000A1AED" w:rsidRPr="00B63188" w:rsidRDefault="000A1AED" w:rsidP="000A1AED">
      <w:pPr>
        <w:rPr>
          <w:sz w:val="24"/>
          <w:szCs w:val="24"/>
        </w:rPr>
      </w:pPr>
    </w:p>
    <w:p w:rsidR="000A1AED" w:rsidRPr="00B63188" w:rsidRDefault="000A1AED" w:rsidP="000A1AED">
      <w:pPr>
        <w:rPr>
          <w:sz w:val="24"/>
          <w:szCs w:val="24"/>
        </w:rPr>
      </w:pPr>
      <w:r w:rsidRPr="00B63188">
        <w:rPr>
          <w:sz w:val="24"/>
          <w:szCs w:val="24"/>
        </w:rPr>
        <w:t>The minutes of the last AGM held in St John’s College, Durham on 12 July 2014 were made available.</w:t>
      </w:r>
    </w:p>
    <w:p w:rsidR="000A1AED" w:rsidRPr="00B63188" w:rsidRDefault="000A1AED" w:rsidP="000A1AED">
      <w:pPr>
        <w:rPr>
          <w:sz w:val="24"/>
          <w:szCs w:val="24"/>
        </w:rPr>
      </w:pPr>
    </w:p>
    <w:p w:rsidR="00B27950" w:rsidRPr="00B63188" w:rsidRDefault="00B27950" w:rsidP="004D4F25">
      <w:pPr>
        <w:numPr>
          <w:ilvl w:val="0"/>
          <w:numId w:val="1"/>
        </w:numPr>
        <w:rPr>
          <w:b/>
          <w:sz w:val="24"/>
          <w:szCs w:val="24"/>
        </w:rPr>
      </w:pPr>
      <w:r w:rsidRPr="00B63188">
        <w:rPr>
          <w:b/>
          <w:sz w:val="24"/>
          <w:szCs w:val="24"/>
        </w:rPr>
        <w:t>Matters Arising</w:t>
      </w:r>
    </w:p>
    <w:p w:rsidR="000A1AED" w:rsidRPr="00B63188" w:rsidRDefault="000A1AED" w:rsidP="000A1AED">
      <w:pPr>
        <w:rPr>
          <w:sz w:val="24"/>
          <w:szCs w:val="24"/>
        </w:rPr>
      </w:pPr>
    </w:p>
    <w:p w:rsidR="000A1AED" w:rsidRPr="00B63188" w:rsidRDefault="000A1AED" w:rsidP="000A1AED">
      <w:pPr>
        <w:rPr>
          <w:sz w:val="24"/>
          <w:szCs w:val="24"/>
        </w:rPr>
      </w:pPr>
      <w:r w:rsidRPr="00B63188">
        <w:rPr>
          <w:sz w:val="24"/>
          <w:szCs w:val="24"/>
        </w:rPr>
        <w:t>There were no matters arising.</w:t>
      </w:r>
    </w:p>
    <w:p w:rsidR="000A1AED" w:rsidRPr="00B63188" w:rsidRDefault="000A1AED" w:rsidP="000A1AED">
      <w:pPr>
        <w:rPr>
          <w:sz w:val="24"/>
          <w:szCs w:val="24"/>
        </w:rPr>
      </w:pPr>
    </w:p>
    <w:p w:rsidR="004D4F25" w:rsidRPr="00B63188" w:rsidRDefault="00A25CE0" w:rsidP="004D4F25">
      <w:pPr>
        <w:numPr>
          <w:ilvl w:val="0"/>
          <w:numId w:val="1"/>
        </w:numPr>
        <w:rPr>
          <w:b/>
          <w:sz w:val="24"/>
          <w:szCs w:val="24"/>
        </w:rPr>
      </w:pPr>
      <w:r w:rsidRPr="00B63188">
        <w:rPr>
          <w:b/>
          <w:sz w:val="24"/>
          <w:szCs w:val="24"/>
        </w:rPr>
        <w:t>President’s Report</w:t>
      </w:r>
    </w:p>
    <w:p w:rsidR="000A1AED" w:rsidRPr="00B63188" w:rsidRDefault="000A1AED" w:rsidP="000A1AED">
      <w:pPr>
        <w:rPr>
          <w:sz w:val="24"/>
          <w:szCs w:val="24"/>
        </w:rPr>
      </w:pPr>
      <w:r w:rsidRPr="00B63188">
        <w:rPr>
          <w:sz w:val="24"/>
          <w:szCs w:val="24"/>
        </w:rPr>
        <w:t xml:space="preserve"> </w:t>
      </w:r>
    </w:p>
    <w:p w:rsidR="000A1AED" w:rsidRPr="00B63188" w:rsidRDefault="000A1AED" w:rsidP="000A1AED">
      <w:pPr>
        <w:rPr>
          <w:sz w:val="24"/>
          <w:szCs w:val="24"/>
        </w:rPr>
      </w:pPr>
      <w:r w:rsidRPr="00B63188">
        <w:rPr>
          <w:sz w:val="24"/>
          <w:szCs w:val="24"/>
        </w:rPr>
        <w:t xml:space="preserve">The President, Máire Cross (MC), reported that it had been a good year for the Society.  In particular, she drew attention to </w:t>
      </w:r>
      <w:r w:rsidR="00634543">
        <w:rPr>
          <w:sz w:val="24"/>
          <w:szCs w:val="24"/>
        </w:rPr>
        <w:t xml:space="preserve">the </w:t>
      </w:r>
      <w:r w:rsidRPr="00B63188">
        <w:rPr>
          <w:sz w:val="24"/>
          <w:szCs w:val="24"/>
        </w:rPr>
        <w:t xml:space="preserve">fabulous turnout for the Douglas Johnson Lecture in January 2015 delivered by John Horne.   </w:t>
      </w:r>
    </w:p>
    <w:p w:rsidR="000A1AED" w:rsidRPr="00B63188" w:rsidRDefault="000A1AED" w:rsidP="000A1AED">
      <w:pPr>
        <w:rPr>
          <w:sz w:val="24"/>
          <w:szCs w:val="24"/>
        </w:rPr>
      </w:pPr>
    </w:p>
    <w:p w:rsidR="000A1AED" w:rsidRPr="00B63188" w:rsidRDefault="000A1AED" w:rsidP="000A1AED">
      <w:pPr>
        <w:rPr>
          <w:sz w:val="24"/>
          <w:szCs w:val="24"/>
        </w:rPr>
      </w:pPr>
    </w:p>
    <w:p w:rsidR="006924CF" w:rsidRPr="00B63188" w:rsidRDefault="006924CF" w:rsidP="004D4F25">
      <w:pPr>
        <w:numPr>
          <w:ilvl w:val="0"/>
          <w:numId w:val="1"/>
        </w:numPr>
        <w:rPr>
          <w:b/>
          <w:sz w:val="24"/>
          <w:szCs w:val="24"/>
        </w:rPr>
      </w:pPr>
      <w:r w:rsidRPr="00B63188">
        <w:rPr>
          <w:b/>
          <w:sz w:val="24"/>
          <w:szCs w:val="24"/>
        </w:rPr>
        <w:t>Committee Membership &amp; Process for the Future Appointment of Committee Members</w:t>
      </w:r>
    </w:p>
    <w:p w:rsidR="000A1AED" w:rsidRPr="00B63188" w:rsidRDefault="000A1AED" w:rsidP="000A1AED">
      <w:pPr>
        <w:rPr>
          <w:sz w:val="24"/>
          <w:szCs w:val="24"/>
        </w:rPr>
      </w:pPr>
    </w:p>
    <w:p w:rsidR="000A1AED" w:rsidRPr="00B63188" w:rsidRDefault="000A1AED" w:rsidP="000A1AED">
      <w:pPr>
        <w:rPr>
          <w:sz w:val="24"/>
          <w:szCs w:val="24"/>
        </w:rPr>
      </w:pPr>
      <w:r w:rsidRPr="00B63188">
        <w:rPr>
          <w:sz w:val="24"/>
          <w:szCs w:val="24"/>
        </w:rPr>
        <w:t xml:space="preserve">There was recommendation advanced by MC that the following procedures be adopted for the appointment of new members of the committee.  </w:t>
      </w:r>
    </w:p>
    <w:p w:rsidR="000A1AED" w:rsidRPr="00B63188" w:rsidRDefault="000A1AED" w:rsidP="000A1AED">
      <w:pPr>
        <w:rPr>
          <w:sz w:val="24"/>
          <w:szCs w:val="24"/>
        </w:rPr>
      </w:pPr>
    </w:p>
    <w:p w:rsidR="000A1AED" w:rsidRPr="00B63188" w:rsidRDefault="000A1AED" w:rsidP="000A1AED">
      <w:pPr>
        <w:rPr>
          <w:sz w:val="24"/>
          <w:szCs w:val="24"/>
        </w:rPr>
      </w:pPr>
      <w:r w:rsidRPr="00B63188">
        <w:rPr>
          <w:sz w:val="24"/>
          <w:szCs w:val="24"/>
        </w:rPr>
        <w:lastRenderedPageBreak/>
        <w:t>T</w:t>
      </w:r>
      <w:r w:rsidRPr="00B63188">
        <w:rPr>
          <w:sz w:val="24"/>
          <w:szCs w:val="24"/>
        </w:rPr>
        <w:t>hat key strategic roles on the committee, in particular President,</w:t>
      </w:r>
      <w:r w:rsidRPr="00B63188">
        <w:rPr>
          <w:sz w:val="24"/>
          <w:szCs w:val="24"/>
        </w:rPr>
        <w:t xml:space="preserve"> Secretary and Treasurer, </w:t>
      </w:r>
      <w:r w:rsidRPr="00B63188">
        <w:rPr>
          <w:sz w:val="24"/>
          <w:szCs w:val="24"/>
        </w:rPr>
        <w:t xml:space="preserve">continue to be recruited from within the committee. </w:t>
      </w:r>
      <w:r w:rsidRPr="00B63188">
        <w:rPr>
          <w:sz w:val="24"/>
          <w:szCs w:val="24"/>
        </w:rPr>
        <w:t>That to</w:t>
      </w:r>
      <w:r w:rsidRPr="00B63188">
        <w:rPr>
          <w:sz w:val="24"/>
          <w:szCs w:val="24"/>
        </w:rPr>
        <w:t xml:space="preserve"> encourage new committee members, and greater transparency in appointments, that all other roles falling vacant would henceforth be advertised across the membership.  Expressions of interest would be invited along with CVs.  These would be considered by the President, normally in consultation with the Secretary.  Nominations would be made to the committee and then submitted for formal approval at the next AGM.   </w:t>
      </w:r>
    </w:p>
    <w:p w:rsidR="000A1AED" w:rsidRPr="00B63188" w:rsidRDefault="000A1AED" w:rsidP="000A1AED">
      <w:pPr>
        <w:rPr>
          <w:sz w:val="24"/>
          <w:szCs w:val="24"/>
        </w:rPr>
      </w:pPr>
    </w:p>
    <w:p w:rsidR="000A1AED" w:rsidRPr="00B63188" w:rsidRDefault="000A1AED" w:rsidP="000A1AED">
      <w:pPr>
        <w:rPr>
          <w:sz w:val="24"/>
          <w:szCs w:val="24"/>
        </w:rPr>
      </w:pPr>
      <w:r w:rsidRPr="00B63188">
        <w:rPr>
          <w:sz w:val="24"/>
          <w:szCs w:val="24"/>
        </w:rPr>
        <w:t xml:space="preserve">This recommendation was passed.  </w:t>
      </w:r>
    </w:p>
    <w:p w:rsidR="000A1AED" w:rsidRPr="00B63188" w:rsidRDefault="000A1AED" w:rsidP="000A1AED">
      <w:pPr>
        <w:rPr>
          <w:sz w:val="24"/>
          <w:szCs w:val="24"/>
        </w:rPr>
      </w:pPr>
    </w:p>
    <w:p w:rsidR="000A1AED" w:rsidRPr="00B63188" w:rsidRDefault="000A1AED" w:rsidP="000A1AED">
      <w:pPr>
        <w:rPr>
          <w:sz w:val="24"/>
          <w:szCs w:val="24"/>
        </w:rPr>
      </w:pPr>
    </w:p>
    <w:p w:rsidR="002E1243" w:rsidRPr="00B63188" w:rsidRDefault="00667731" w:rsidP="002E1243">
      <w:pPr>
        <w:numPr>
          <w:ilvl w:val="0"/>
          <w:numId w:val="1"/>
        </w:numPr>
        <w:rPr>
          <w:sz w:val="24"/>
          <w:szCs w:val="24"/>
        </w:rPr>
      </w:pPr>
      <w:r w:rsidRPr="00B63188">
        <w:rPr>
          <w:sz w:val="24"/>
          <w:szCs w:val="24"/>
        </w:rPr>
        <w:t xml:space="preserve">Report from the Secretary </w:t>
      </w:r>
      <w:r w:rsidR="00C109E4" w:rsidRPr="00B63188">
        <w:rPr>
          <w:sz w:val="24"/>
          <w:szCs w:val="24"/>
        </w:rPr>
        <w:t xml:space="preserve">(see Appendix I)  </w:t>
      </w:r>
    </w:p>
    <w:p w:rsidR="00C109E4" w:rsidRPr="00B63188" w:rsidRDefault="00C109E4" w:rsidP="00C109E4">
      <w:pPr>
        <w:rPr>
          <w:sz w:val="24"/>
          <w:szCs w:val="24"/>
        </w:rPr>
      </w:pPr>
    </w:p>
    <w:p w:rsidR="0091043F" w:rsidRPr="00B63188" w:rsidRDefault="0091043F" w:rsidP="00C109E4">
      <w:pPr>
        <w:rPr>
          <w:sz w:val="24"/>
          <w:szCs w:val="24"/>
        </w:rPr>
      </w:pPr>
      <w:r w:rsidRPr="00B63188">
        <w:rPr>
          <w:sz w:val="24"/>
          <w:szCs w:val="24"/>
        </w:rPr>
        <w:t xml:space="preserve">The Secretary reported on grant expenditure.  Also presented were the recommendations of the committee to i) develop a new one-off lecture grant and ii) to increase the number of times the conference grant scheme was offered during the year (from the current 2 deadlines to 4).   Both these measures were endorsed by the members present.   </w:t>
      </w:r>
    </w:p>
    <w:p w:rsidR="0091043F" w:rsidRPr="00B63188" w:rsidRDefault="0091043F" w:rsidP="00C109E4">
      <w:pPr>
        <w:rPr>
          <w:sz w:val="24"/>
          <w:szCs w:val="24"/>
        </w:rPr>
      </w:pPr>
    </w:p>
    <w:p w:rsidR="002A53B3" w:rsidRPr="00B63188" w:rsidRDefault="002A53B3" w:rsidP="00C109E4">
      <w:pPr>
        <w:rPr>
          <w:sz w:val="24"/>
          <w:szCs w:val="24"/>
        </w:rPr>
      </w:pPr>
      <w:r w:rsidRPr="00B63188">
        <w:rPr>
          <w:sz w:val="24"/>
          <w:szCs w:val="24"/>
        </w:rPr>
        <w:t xml:space="preserve">Malcolm Crook indicated that there had been previous discussions with Catherine Robert about possible funding for the one-off lecture grants.   </w:t>
      </w:r>
    </w:p>
    <w:p w:rsidR="002A53B3" w:rsidRPr="00B63188" w:rsidRDefault="002A53B3" w:rsidP="00C109E4">
      <w:pPr>
        <w:rPr>
          <w:sz w:val="24"/>
          <w:szCs w:val="24"/>
        </w:rPr>
      </w:pPr>
    </w:p>
    <w:p w:rsidR="0091043F" w:rsidRPr="00B63188" w:rsidRDefault="0091043F" w:rsidP="00C109E4">
      <w:pPr>
        <w:rPr>
          <w:sz w:val="24"/>
          <w:szCs w:val="24"/>
        </w:rPr>
      </w:pPr>
      <w:r w:rsidRPr="00B63188">
        <w:rPr>
          <w:sz w:val="24"/>
          <w:szCs w:val="24"/>
        </w:rPr>
        <w:t xml:space="preserve">There was also support for some form of scheme for Masters-level students.   It was agreed that this would be explored further.  </w:t>
      </w:r>
    </w:p>
    <w:p w:rsidR="00C109E4" w:rsidRPr="00B63188" w:rsidRDefault="00C109E4" w:rsidP="00C109E4">
      <w:pPr>
        <w:rPr>
          <w:sz w:val="24"/>
          <w:szCs w:val="24"/>
        </w:rPr>
      </w:pPr>
    </w:p>
    <w:p w:rsidR="00C109E4" w:rsidRPr="00B63188" w:rsidRDefault="00C109E4" w:rsidP="00C109E4">
      <w:pPr>
        <w:rPr>
          <w:sz w:val="24"/>
          <w:szCs w:val="24"/>
        </w:rPr>
      </w:pPr>
    </w:p>
    <w:p w:rsidR="002E1243" w:rsidRPr="00B63188" w:rsidRDefault="006924CF" w:rsidP="002E1243">
      <w:pPr>
        <w:numPr>
          <w:ilvl w:val="0"/>
          <w:numId w:val="1"/>
        </w:numPr>
        <w:rPr>
          <w:sz w:val="24"/>
          <w:szCs w:val="24"/>
        </w:rPr>
      </w:pPr>
      <w:r w:rsidRPr="00B63188">
        <w:rPr>
          <w:sz w:val="24"/>
          <w:szCs w:val="24"/>
        </w:rPr>
        <w:t>Report from the Treasurer</w:t>
      </w:r>
      <w:r w:rsidR="00C109E4" w:rsidRPr="00B63188">
        <w:rPr>
          <w:sz w:val="24"/>
          <w:szCs w:val="24"/>
        </w:rPr>
        <w:t xml:space="preserve"> (see Appendix II) </w:t>
      </w:r>
    </w:p>
    <w:p w:rsidR="002A53B3" w:rsidRPr="00B63188" w:rsidRDefault="002A53B3" w:rsidP="002A53B3">
      <w:pPr>
        <w:rPr>
          <w:sz w:val="24"/>
          <w:szCs w:val="24"/>
        </w:rPr>
      </w:pPr>
    </w:p>
    <w:p w:rsidR="002A53B3" w:rsidRPr="00B63188" w:rsidRDefault="002A53B3" w:rsidP="002A53B3">
      <w:pPr>
        <w:rPr>
          <w:sz w:val="24"/>
          <w:szCs w:val="24"/>
        </w:rPr>
      </w:pPr>
      <w:r w:rsidRPr="00B63188">
        <w:rPr>
          <w:sz w:val="24"/>
          <w:szCs w:val="24"/>
        </w:rPr>
        <w:t>The finances of the Society were presented to the AGM.   It was noted that the process of transition from the outgoing to incoming Treasurer was now almost complete.</w:t>
      </w:r>
    </w:p>
    <w:p w:rsidR="002A53B3" w:rsidRPr="00B63188" w:rsidRDefault="002A53B3" w:rsidP="002A53B3">
      <w:pPr>
        <w:rPr>
          <w:sz w:val="24"/>
          <w:szCs w:val="24"/>
        </w:rPr>
      </w:pPr>
    </w:p>
    <w:p w:rsidR="002A53B3" w:rsidRPr="00B63188" w:rsidRDefault="002A53B3" w:rsidP="002A53B3">
      <w:pPr>
        <w:rPr>
          <w:sz w:val="24"/>
          <w:szCs w:val="24"/>
        </w:rPr>
      </w:pPr>
      <w:r w:rsidRPr="00B63188">
        <w:rPr>
          <w:sz w:val="24"/>
          <w:szCs w:val="24"/>
        </w:rPr>
        <w:t xml:space="preserve">MC noted the importance of satisfying the requirements of the Charities Commission and that an accountant would need to be brought in to certify our finances.  </w:t>
      </w:r>
    </w:p>
    <w:p w:rsidR="00C7213F" w:rsidRPr="00B63188" w:rsidRDefault="00C7213F" w:rsidP="002A53B3">
      <w:pPr>
        <w:rPr>
          <w:sz w:val="24"/>
          <w:szCs w:val="24"/>
        </w:rPr>
      </w:pPr>
    </w:p>
    <w:p w:rsidR="00C7213F" w:rsidRPr="00B63188" w:rsidRDefault="00C7213F" w:rsidP="002A53B3">
      <w:pPr>
        <w:rPr>
          <w:sz w:val="24"/>
          <w:szCs w:val="24"/>
        </w:rPr>
      </w:pPr>
      <w:r w:rsidRPr="00B63188">
        <w:rPr>
          <w:sz w:val="24"/>
          <w:szCs w:val="24"/>
        </w:rPr>
        <w:t xml:space="preserve">It was noted that a new claim form would be produced by the Treasurer for expenses incurred by members of the committee.  </w:t>
      </w:r>
    </w:p>
    <w:p w:rsidR="002A53B3" w:rsidRPr="00B63188" w:rsidRDefault="002A53B3" w:rsidP="002A53B3">
      <w:pPr>
        <w:rPr>
          <w:sz w:val="24"/>
          <w:szCs w:val="24"/>
        </w:rPr>
      </w:pPr>
    </w:p>
    <w:p w:rsidR="006924CF" w:rsidRPr="00B63188" w:rsidRDefault="006924CF" w:rsidP="006924CF">
      <w:pPr>
        <w:numPr>
          <w:ilvl w:val="0"/>
          <w:numId w:val="1"/>
        </w:numPr>
        <w:rPr>
          <w:sz w:val="24"/>
          <w:szCs w:val="24"/>
        </w:rPr>
      </w:pPr>
      <w:r w:rsidRPr="00B63188">
        <w:rPr>
          <w:sz w:val="24"/>
          <w:szCs w:val="24"/>
        </w:rPr>
        <w:t xml:space="preserve">Report from the editors of </w:t>
      </w:r>
      <w:r w:rsidRPr="00B63188">
        <w:rPr>
          <w:i/>
          <w:sz w:val="24"/>
          <w:szCs w:val="24"/>
        </w:rPr>
        <w:t>French History</w:t>
      </w:r>
      <w:r w:rsidRPr="00B63188">
        <w:rPr>
          <w:sz w:val="24"/>
          <w:szCs w:val="24"/>
        </w:rPr>
        <w:t xml:space="preserve"> &amp; Society News  </w:t>
      </w:r>
    </w:p>
    <w:p w:rsidR="00C7213F" w:rsidRPr="00B63188" w:rsidRDefault="00C7213F" w:rsidP="00C7213F">
      <w:pPr>
        <w:rPr>
          <w:sz w:val="24"/>
          <w:szCs w:val="24"/>
        </w:rPr>
      </w:pPr>
    </w:p>
    <w:p w:rsidR="004333CC" w:rsidRPr="00B63188" w:rsidRDefault="005E7AFE" w:rsidP="00C7213F">
      <w:pPr>
        <w:rPr>
          <w:sz w:val="24"/>
          <w:szCs w:val="24"/>
        </w:rPr>
      </w:pPr>
      <w:r w:rsidRPr="00B63188">
        <w:rPr>
          <w:sz w:val="24"/>
          <w:szCs w:val="24"/>
        </w:rPr>
        <w:t xml:space="preserve">Julian Wright indicated that the profit share from OUP was up yet again, and that this is where the Society reaped most of its funding.   </w:t>
      </w:r>
      <w:r w:rsidR="0024640C" w:rsidRPr="00B63188">
        <w:rPr>
          <w:sz w:val="24"/>
          <w:szCs w:val="24"/>
        </w:rPr>
        <w:t>He noted that OUP was very forward-thinking in its dealing</w:t>
      </w:r>
      <w:r w:rsidR="00864264">
        <w:rPr>
          <w:sz w:val="24"/>
          <w:szCs w:val="24"/>
        </w:rPr>
        <w:t>s -</w:t>
      </w:r>
      <w:r w:rsidR="0024640C" w:rsidRPr="00B63188">
        <w:rPr>
          <w:sz w:val="24"/>
          <w:szCs w:val="24"/>
        </w:rPr>
        <w:t xml:space="preserve"> in particular with social media promotion of the </w:t>
      </w:r>
      <w:r w:rsidR="00B578C3" w:rsidRPr="00B63188">
        <w:rPr>
          <w:sz w:val="24"/>
          <w:szCs w:val="24"/>
        </w:rPr>
        <w:t xml:space="preserve">journal.  He drew the attention of the AGM to the number of </w:t>
      </w:r>
      <w:r w:rsidR="00EE2D70" w:rsidRPr="00B63188">
        <w:rPr>
          <w:sz w:val="24"/>
          <w:szCs w:val="24"/>
        </w:rPr>
        <w:t>virtual special</w:t>
      </w:r>
      <w:r w:rsidR="00B578C3" w:rsidRPr="00B63188">
        <w:rPr>
          <w:sz w:val="24"/>
          <w:szCs w:val="24"/>
        </w:rPr>
        <w:t xml:space="preserve"> </w:t>
      </w:r>
      <w:r w:rsidR="00EE2D70" w:rsidRPr="00B63188">
        <w:rPr>
          <w:sz w:val="24"/>
          <w:szCs w:val="24"/>
        </w:rPr>
        <w:t xml:space="preserve">issues, which largely repackaged earlier material with appropriate editorial comment and gloss.  </w:t>
      </w:r>
      <w:r w:rsidR="004333CC" w:rsidRPr="00B63188">
        <w:rPr>
          <w:sz w:val="24"/>
          <w:szCs w:val="24"/>
        </w:rPr>
        <w:t xml:space="preserve">Readership of the journal had plateaued a little, but that there was little worry about.  However, attention would be given in the coming year to promoting </w:t>
      </w:r>
      <w:r w:rsidR="004333CC" w:rsidRPr="00B63188">
        <w:rPr>
          <w:i/>
          <w:sz w:val="24"/>
          <w:szCs w:val="24"/>
        </w:rPr>
        <w:t>French History</w:t>
      </w:r>
      <w:r w:rsidR="004333CC" w:rsidRPr="00B63188">
        <w:rPr>
          <w:sz w:val="24"/>
          <w:szCs w:val="24"/>
        </w:rPr>
        <w:t xml:space="preserve"> more pro-</w:t>
      </w:r>
      <w:r w:rsidR="004333CC" w:rsidRPr="00B63188">
        <w:rPr>
          <w:sz w:val="24"/>
          <w:szCs w:val="24"/>
        </w:rPr>
        <w:lastRenderedPageBreak/>
        <w:t xml:space="preserve">actively.  In particular, Julian and Andrew Smith would work with Alex Beaumont at OUP to work with various lists, not least H-FRANCE.   </w:t>
      </w:r>
    </w:p>
    <w:p w:rsidR="004333CC" w:rsidRPr="00B63188" w:rsidRDefault="004333CC" w:rsidP="00C7213F">
      <w:pPr>
        <w:rPr>
          <w:sz w:val="24"/>
          <w:szCs w:val="24"/>
        </w:rPr>
      </w:pPr>
    </w:p>
    <w:p w:rsidR="00F90962" w:rsidRPr="00B63188" w:rsidRDefault="004333CC" w:rsidP="00C7213F">
      <w:pPr>
        <w:rPr>
          <w:sz w:val="24"/>
          <w:szCs w:val="24"/>
        </w:rPr>
      </w:pPr>
      <w:r w:rsidRPr="00B63188">
        <w:rPr>
          <w:sz w:val="24"/>
          <w:szCs w:val="24"/>
        </w:rPr>
        <w:t xml:space="preserve">Malcolm Crook indicated that such promotion should look broadly at available online resources, not least Francophile, H-Nationalism, H-Colonial and so forth.   </w:t>
      </w:r>
    </w:p>
    <w:p w:rsidR="00F90962" w:rsidRPr="00B63188" w:rsidRDefault="00F90962" w:rsidP="00C7213F">
      <w:pPr>
        <w:rPr>
          <w:sz w:val="24"/>
          <w:szCs w:val="24"/>
        </w:rPr>
      </w:pPr>
    </w:p>
    <w:p w:rsidR="005E7AFE" w:rsidRPr="00B63188" w:rsidRDefault="00F90962" w:rsidP="00C7213F">
      <w:pPr>
        <w:rPr>
          <w:sz w:val="24"/>
          <w:szCs w:val="24"/>
        </w:rPr>
      </w:pPr>
      <w:r w:rsidRPr="00B63188">
        <w:rPr>
          <w:sz w:val="24"/>
          <w:szCs w:val="24"/>
        </w:rPr>
        <w:t xml:space="preserve">MC noted thanks to the editors, and to Jessica Wardhaugh the Society news editor, and to Tim Baycroft the book reviews editor. </w:t>
      </w:r>
      <w:r w:rsidR="004333CC" w:rsidRPr="00B63188">
        <w:rPr>
          <w:sz w:val="24"/>
          <w:szCs w:val="24"/>
        </w:rPr>
        <w:t xml:space="preserve"> </w:t>
      </w:r>
    </w:p>
    <w:p w:rsidR="005E7AFE" w:rsidRPr="00B63188" w:rsidRDefault="005E7AFE" w:rsidP="00C7213F">
      <w:pPr>
        <w:rPr>
          <w:sz w:val="24"/>
          <w:szCs w:val="24"/>
        </w:rPr>
      </w:pPr>
    </w:p>
    <w:p w:rsidR="00C7213F" w:rsidRPr="00B63188" w:rsidRDefault="00C7213F" w:rsidP="00C7213F">
      <w:pPr>
        <w:rPr>
          <w:sz w:val="24"/>
          <w:szCs w:val="24"/>
        </w:rPr>
      </w:pPr>
    </w:p>
    <w:p w:rsidR="004D4F25" w:rsidRPr="00B63188" w:rsidRDefault="006924CF" w:rsidP="004D4F25">
      <w:pPr>
        <w:numPr>
          <w:ilvl w:val="0"/>
          <w:numId w:val="1"/>
        </w:numPr>
        <w:rPr>
          <w:sz w:val="24"/>
          <w:szCs w:val="24"/>
        </w:rPr>
      </w:pPr>
      <w:r w:rsidRPr="00B63188">
        <w:rPr>
          <w:sz w:val="24"/>
          <w:szCs w:val="24"/>
        </w:rPr>
        <w:t>Report on Website and Social Media Matters</w:t>
      </w:r>
      <w:r w:rsidR="00C109E4" w:rsidRPr="00B63188">
        <w:rPr>
          <w:sz w:val="24"/>
          <w:szCs w:val="24"/>
        </w:rPr>
        <w:t xml:space="preserve"> (see Appendix III) </w:t>
      </w:r>
    </w:p>
    <w:p w:rsidR="009744A7" w:rsidRPr="00B63188" w:rsidRDefault="009744A7" w:rsidP="009744A7">
      <w:pPr>
        <w:rPr>
          <w:sz w:val="24"/>
          <w:szCs w:val="24"/>
        </w:rPr>
      </w:pPr>
    </w:p>
    <w:p w:rsidR="009744A7" w:rsidRPr="00B63188" w:rsidRDefault="009744A7" w:rsidP="009744A7">
      <w:pPr>
        <w:rPr>
          <w:sz w:val="24"/>
          <w:szCs w:val="24"/>
        </w:rPr>
      </w:pPr>
      <w:r w:rsidRPr="00B63188">
        <w:rPr>
          <w:sz w:val="24"/>
          <w:szCs w:val="24"/>
        </w:rPr>
        <w:t xml:space="preserve">As tabled.  </w:t>
      </w:r>
    </w:p>
    <w:p w:rsidR="009744A7" w:rsidRPr="00B63188" w:rsidRDefault="009744A7" w:rsidP="009744A7">
      <w:pPr>
        <w:ind w:left="720"/>
        <w:rPr>
          <w:sz w:val="24"/>
          <w:szCs w:val="24"/>
        </w:rPr>
      </w:pPr>
    </w:p>
    <w:p w:rsidR="009744A7" w:rsidRPr="00B63188" w:rsidRDefault="009744A7" w:rsidP="009744A7">
      <w:pPr>
        <w:ind w:left="720"/>
        <w:rPr>
          <w:sz w:val="24"/>
          <w:szCs w:val="24"/>
        </w:rPr>
      </w:pPr>
    </w:p>
    <w:p w:rsidR="00667731" w:rsidRPr="00B63188" w:rsidRDefault="002E1243" w:rsidP="002E1243">
      <w:pPr>
        <w:numPr>
          <w:ilvl w:val="0"/>
          <w:numId w:val="1"/>
        </w:numPr>
        <w:rPr>
          <w:sz w:val="24"/>
          <w:szCs w:val="24"/>
        </w:rPr>
      </w:pPr>
      <w:r w:rsidRPr="00B63188">
        <w:rPr>
          <w:sz w:val="24"/>
          <w:szCs w:val="24"/>
        </w:rPr>
        <w:t>Report</w:t>
      </w:r>
      <w:r w:rsidR="00667731" w:rsidRPr="00B63188">
        <w:rPr>
          <w:sz w:val="24"/>
          <w:szCs w:val="24"/>
        </w:rPr>
        <w:t xml:space="preserve"> from the Membership Secretary </w:t>
      </w:r>
      <w:r w:rsidR="00C109E4" w:rsidRPr="00B63188">
        <w:rPr>
          <w:sz w:val="24"/>
          <w:szCs w:val="24"/>
        </w:rPr>
        <w:t>(see Appendix IV)</w:t>
      </w:r>
    </w:p>
    <w:p w:rsidR="009744A7" w:rsidRPr="00B63188" w:rsidRDefault="009744A7" w:rsidP="009744A7">
      <w:pPr>
        <w:rPr>
          <w:sz w:val="24"/>
          <w:szCs w:val="24"/>
        </w:rPr>
      </w:pPr>
    </w:p>
    <w:p w:rsidR="009744A7" w:rsidRPr="00B63188" w:rsidRDefault="009744A7" w:rsidP="009744A7">
      <w:pPr>
        <w:rPr>
          <w:sz w:val="24"/>
          <w:szCs w:val="24"/>
        </w:rPr>
      </w:pPr>
      <w:r w:rsidRPr="00B63188">
        <w:rPr>
          <w:sz w:val="24"/>
          <w:szCs w:val="24"/>
        </w:rPr>
        <w:t xml:space="preserve">Claire Eldridge </w:t>
      </w:r>
      <w:r w:rsidR="00CF2687" w:rsidRPr="00B63188">
        <w:rPr>
          <w:sz w:val="24"/>
          <w:szCs w:val="24"/>
        </w:rPr>
        <w:t xml:space="preserve">(CE) </w:t>
      </w:r>
      <w:r w:rsidRPr="00B63188">
        <w:rPr>
          <w:sz w:val="24"/>
          <w:szCs w:val="24"/>
        </w:rPr>
        <w:t>reported on membership matters, indicating that</w:t>
      </w:r>
      <w:r w:rsidR="00864264">
        <w:rPr>
          <w:sz w:val="24"/>
          <w:szCs w:val="24"/>
        </w:rPr>
        <w:t xml:space="preserve"> the</w:t>
      </w:r>
      <w:r w:rsidRPr="00B63188">
        <w:rPr>
          <w:sz w:val="24"/>
          <w:szCs w:val="24"/>
        </w:rPr>
        <w:t xml:space="preserve"> current system of subscription via OUP and an online membership form to be submitted to the Society would be replaced from the end of this year.  </w:t>
      </w:r>
      <w:r w:rsidR="00CF2687" w:rsidRPr="00B63188">
        <w:rPr>
          <w:sz w:val="24"/>
          <w:szCs w:val="24"/>
        </w:rPr>
        <w:t>CE would periodically review OUP’s lists and send a welcome letter to all new members, along with a questionnaire inviting members to indicate what they would like the Society to do for them.   There was also a suggestion that members whose subscriptions had lapse</w:t>
      </w:r>
      <w:r w:rsidR="00CF2687" w:rsidRPr="00B63188">
        <w:rPr>
          <w:sz w:val="24"/>
          <w:szCs w:val="24"/>
        </w:rPr>
        <w:t>d</w:t>
      </w:r>
      <w:r w:rsidR="00CF2687" w:rsidRPr="00B63188">
        <w:rPr>
          <w:sz w:val="24"/>
          <w:szCs w:val="24"/>
        </w:rPr>
        <w:t xml:space="preserve"> would be contac</w:t>
      </w:r>
      <w:r w:rsidR="00CF2687" w:rsidRPr="00B63188">
        <w:rPr>
          <w:sz w:val="24"/>
          <w:szCs w:val="24"/>
        </w:rPr>
        <w:t>ted</w:t>
      </w:r>
      <w:r w:rsidR="00CF2687" w:rsidRPr="00B63188">
        <w:rPr>
          <w:sz w:val="24"/>
          <w:szCs w:val="24"/>
        </w:rPr>
        <w:t xml:space="preserve"> about the</w:t>
      </w:r>
      <w:r w:rsidR="001E255F" w:rsidRPr="00B63188">
        <w:rPr>
          <w:sz w:val="24"/>
          <w:szCs w:val="24"/>
        </w:rPr>
        <w:t>ir</w:t>
      </w:r>
      <w:r w:rsidR="00CF2687" w:rsidRPr="00B63188">
        <w:rPr>
          <w:sz w:val="24"/>
          <w:szCs w:val="24"/>
        </w:rPr>
        <w:t xml:space="preserve"> reasons for not renewing.  </w:t>
      </w:r>
    </w:p>
    <w:p w:rsidR="00025846" w:rsidRPr="00B63188" w:rsidRDefault="00025846" w:rsidP="009744A7">
      <w:pPr>
        <w:rPr>
          <w:sz w:val="24"/>
          <w:szCs w:val="24"/>
        </w:rPr>
      </w:pPr>
    </w:p>
    <w:p w:rsidR="00025846" w:rsidRPr="00B63188" w:rsidRDefault="00025846" w:rsidP="009744A7">
      <w:pPr>
        <w:rPr>
          <w:sz w:val="24"/>
          <w:szCs w:val="24"/>
        </w:rPr>
      </w:pPr>
      <w:r w:rsidRPr="00B63188">
        <w:rPr>
          <w:sz w:val="24"/>
          <w:szCs w:val="24"/>
        </w:rPr>
        <w:t xml:space="preserve">Norman Ingram proposed that only members of the Society should be able to attend the annual Society conference   This was the case with many sister societies.   </w:t>
      </w:r>
      <w:r w:rsidR="004D22FD">
        <w:rPr>
          <w:sz w:val="24"/>
          <w:szCs w:val="24"/>
        </w:rPr>
        <w:t>T</w:t>
      </w:r>
      <w:r w:rsidRPr="00B63188">
        <w:rPr>
          <w:sz w:val="24"/>
          <w:szCs w:val="24"/>
        </w:rPr>
        <w:t xml:space="preserve">he AGM </w:t>
      </w:r>
      <w:r w:rsidR="004D22FD">
        <w:rPr>
          <w:sz w:val="24"/>
          <w:szCs w:val="24"/>
        </w:rPr>
        <w:t>favoured</w:t>
      </w:r>
      <w:r w:rsidRPr="00B63188">
        <w:rPr>
          <w:sz w:val="24"/>
          <w:szCs w:val="24"/>
        </w:rPr>
        <w:t xml:space="preserve"> retaining a discounted conference rate for members.   </w:t>
      </w:r>
      <w:r w:rsidR="00DF75BF" w:rsidRPr="00B63188">
        <w:rPr>
          <w:sz w:val="24"/>
          <w:szCs w:val="24"/>
        </w:rPr>
        <w:t xml:space="preserve">However, it was agreed that Norman Ingram’s </w:t>
      </w:r>
      <w:r w:rsidR="002319A7" w:rsidRPr="00B63188">
        <w:rPr>
          <w:sz w:val="24"/>
          <w:szCs w:val="24"/>
        </w:rPr>
        <w:t xml:space="preserve">suggestion would be considered further.  </w:t>
      </w:r>
    </w:p>
    <w:p w:rsidR="009744A7" w:rsidRPr="00B63188" w:rsidRDefault="009744A7" w:rsidP="009744A7">
      <w:pPr>
        <w:rPr>
          <w:sz w:val="24"/>
          <w:szCs w:val="24"/>
        </w:rPr>
      </w:pPr>
    </w:p>
    <w:p w:rsidR="006924CF" w:rsidRPr="00B63188" w:rsidRDefault="006924CF" w:rsidP="006924CF">
      <w:pPr>
        <w:numPr>
          <w:ilvl w:val="0"/>
          <w:numId w:val="1"/>
        </w:numPr>
        <w:rPr>
          <w:sz w:val="24"/>
          <w:szCs w:val="24"/>
        </w:rPr>
      </w:pPr>
      <w:r w:rsidRPr="00B63188">
        <w:rPr>
          <w:sz w:val="24"/>
          <w:szCs w:val="24"/>
        </w:rPr>
        <w:t xml:space="preserve">Report from Conference Officer </w:t>
      </w:r>
      <w:r w:rsidR="00C109E4" w:rsidRPr="00B63188">
        <w:rPr>
          <w:sz w:val="24"/>
          <w:szCs w:val="24"/>
        </w:rPr>
        <w:t>(see Appendix V)</w:t>
      </w:r>
    </w:p>
    <w:p w:rsidR="009744A7" w:rsidRPr="00B63188" w:rsidRDefault="009744A7" w:rsidP="009744A7">
      <w:pPr>
        <w:rPr>
          <w:sz w:val="24"/>
          <w:szCs w:val="24"/>
        </w:rPr>
      </w:pPr>
    </w:p>
    <w:p w:rsidR="009744A7" w:rsidRPr="00B63188" w:rsidRDefault="009744A7" w:rsidP="009744A7">
      <w:pPr>
        <w:rPr>
          <w:sz w:val="24"/>
          <w:szCs w:val="24"/>
        </w:rPr>
      </w:pPr>
      <w:r w:rsidRPr="00B63188">
        <w:rPr>
          <w:sz w:val="24"/>
          <w:szCs w:val="24"/>
        </w:rPr>
        <w:t xml:space="preserve">Joanna Warson reported on arrangements for next year’s conference in Chichester to be held on 3-5 July 2016.  The importance of offering a discount for members, and of holding the AGM at a more appropriate time was endorsed by </w:t>
      </w:r>
      <w:r w:rsidR="00334F4C">
        <w:rPr>
          <w:sz w:val="24"/>
          <w:szCs w:val="24"/>
        </w:rPr>
        <w:t xml:space="preserve">the AGM. </w:t>
      </w:r>
      <w:bookmarkStart w:id="0" w:name="_GoBack"/>
      <w:bookmarkEnd w:id="0"/>
      <w:r w:rsidRPr="00B63188">
        <w:rPr>
          <w:sz w:val="24"/>
          <w:szCs w:val="24"/>
        </w:rPr>
        <w:t xml:space="preserve"> </w:t>
      </w:r>
    </w:p>
    <w:p w:rsidR="009744A7" w:rsidRPr="00B63188" w:rsidRDefault="009744A7" w:rsidP="009744A7">
      <w:pPr>
        <w:rPr>
          <w:sz w:val="24"/>
          <w:szCs w:val="24"/>
        </w:rPr>
      </w:pPr>
    </w:p>
    <w:p w:rsidR="006924CF" w:rsidRPr="00B63188" w:rsidRDefault="006924CF" w:rsidP="00307FC9">
      <w:pPr>
        <w:numPr>
          <w:ilvl w:val="0"/>
          <w:numId w:val="1"/>
        </w:numPr>
        <w:rPr>
          <w:sz w:val="24"/>
          <w:szCs w:val="24"/>
        </w:rPr>
      </w:pPr>
      <w:r w:rsidRPr="00B63188">
        <w:rPr>
          <w:sz w:val="24"/>
          <w:szCs w:val="24"/>
        </w:rPr>
        <w:t xml:space="preserve">Report from </w:t>
      </w:r>
      <w:r w:rsidR="002E1243" w:rsidRPr="00B63188">
        <w:rPr>
          <w:sz w:val="24"/>
          <w:szCs w:val="24"/>
        </w:rPr>
        <w:t>Postgraduate representatives</w:t>
      </w:r>
      <w:r w:rsidRPr="00B63188">
        <w:rPr>
          <w:sz w:val="24"/>
          <w:szCs w:val="24"/>
        </w:rPr>
        <w:t xml:space="preserve"> </w:t>
      </w:r>
      <w:r w:rsidR="00C109E4" w:rsidRPr="00B63188">
        <w:rPr>
          <w:sz w:val="24"/>
          <w:szCs w:val="24"/>
        </w:rPr>
        <w:t xml:space="preserve">(see Appendix VI)  </w:t>
      </w:r>
    </w:p>
    <w:p w:rsidR="00EB3455" w:rsidRPr="00B63188" w:rsidRDefault="00EB3455" w:rsidP="00EB3455">
      <w:pPr>
        <w:rPr>
          <w:sz w:val="24"/>
          <w:szCs w:val="24"/>
        </w:rPr>
      </w:pPr>
    </w:p>
    <w:p w:rsidR="00EB3455" w:rsidRPr="00B63188" w:rsidRDefault="00EB3455" w:rsidP="00EB3455">
      <w:pPr>
        <w:rPr>
          <w:sz w:val="24"/>
          <w:szCs w:val="24"/>
        </w:rPr>
      </w:pPr>
      <w:r w:rsidRPr="00B63188">
        <w:rPr>
          <w:sz w:val="24"/>
          <w:szCs w:val="24"/>
        </w:rPr>
        <w:t xml:space="preserve">As tabled.  It was noted that there were 33 attendees at the postgraduate study day held in conjunction with the ASMCF, which considered the theme of local and global.  It was a great success and MC extended the congratulations of the Society to the organisers.  </w:t>
      </w:r>
    </w:p>
    <w:p w:rsidR="00EB3455" w:rsidRPr="00B63188" w:rsidRDefault="00EB3455" w:rsidP="00EB3455">
      <w:pPr>
        <w:rPr>
          <w:sz w:val="24"/>
          <w:szCs w:val="24"/>
        </w:rPr>
      </w:pPr>
    </w:p>
    <w:p w:rsidR="006924CF" w:rsidRPr="00B63188" w:rsidRDefault="006924CF" w:rsidP="006924CF">
      <w:pPr>
        <w:numPr>
          <w:ilvl w:val="0"/>
          <w:numId w:val="1"/>
        </w:numPr>
        <w:rPr>
          <w:sz w:val="24"/>
          <w:szCs w:val="24"/>
        </w:rPr>
      </w:pPr>
      <w:r w:rsidRPr="00B63188">
        <w:rPr>
          <w:sz w:val="24"/>
          <w:szCs w:val="24"/>
        </w:rPr>
        <w:t>Douglas Johnson Annual Lecture</w:t>
      </w:r>
      <w:r w:rsidR="00A25CE0" w:rsidRPr="00B63188">
        <w:rPr>
          <w:sz w:val="24"/>
          <w:szCs w:val="24"/>
        </w:rPr>
        <w:t>s</w:t>
      </w:r>
    </w:p>
    <w:p w:rsidR="00B63188" w:rsidRPr="00B63188" w:rsidRDefault="00B63188" w:rsidP="00B63188">
      <w:pPr>
        <w:rPr>
          <w:sz w:val="24"/>
          <w:szCs w:val="24"/>
        </w:rPr>
      </w:pPr>
    </w:p>
    <w:p w:rsidR="00B63188" w:rsidRPr="00B63188" w:rsidRDefault="00B63188" w:rsidP="00B63188">
      <w:pPr>
        <w:rPr>
          <w:sz w:val="24"/>
          <w:szCs w:val="24"/>
        </w:rPr>
      </w:pPr>
      <w:r w:rsidRPr="00B63188">
        <w:rPr>
          <w:sz w:val="24"/>
          <w:szCs w:val="24"/>
        </w:rPr>
        <w:t xml:space="preserve">MC reported that Sian Reynolds had agreed to deliver the 2016 Douglas Johnson Lecture on the subject of ‘Children of the Revolution’, and that Colin Jones had agreed to deliver </w:t>
      </w:r>
      <w:r w:rsidRPr="00B63188">
        <w:rPr>
          <w:sz w:val="24"/>
          <w:szCs w:val="24"/>
        </w:rPr>
        <w:lastRenderedPageBreak/>
        <w:t xml:space="preserve">the 2017 lecture.  MC also noted that the Institut Français was keen on hosting the lecture in 2016.  </w:t>
      </w:r>
      <w:r>
        <w:rPr>
          <w:sz w:val="24"/>
          <w:szCs w:val="24"/>
        </w:rPr>
        <w:t xml:space="preserve">There was approval on all counts.  </w:t>
      </w:r>
    </w:p>
    <w:p w:rsidR="00B63188" w:rsidRPr="00B63188" w:rsidRDefault="00B63188" w:rsidP="00B63188">
      <w:pPr>
        <w:rPr>
          <w:sz w:val="24"/>
          <w:szCs w:val="24"/>
        </w:rPr>
      </w:pPr>
    </w:p>
    <w:p w:rsidR="00B63188" w:rsidRPr="00B63188" w:rsidRDefault="00B63188" w:rsidP="00B63188">
      <w:pPr>
        <w:rPr>
          <w:sz w:val="24"/>
          <w:szCs w:val="24"/>
        </w:rPr>
      </w:pPr>
    </w:p>
    <w:p w:rsidR="002E1243" w:rsidRPr="00B63188" w:rsidRDefault="00667731" w:rsidP="00307FC9">
      <w:pPr>
        <w:numPr>
          <w:ilvl w:val="0"/>
          <w:numId w:val="1"/>
        </w:numPr>
        <w:rPr>
          <w:sz w:val="24"/>
          <w:szCs w:val="24"/>
        </w:rPr>
      </w:pPr>
      <w:r w:rsidRPr="00B63188">
        <w:rPr>
          <w:sz w:val="24"/>
          <w:szCs w:val="24"/>
        </w:rPr>
        <w:t xml:space="preserve">Date of </w:t>
      </w:r>
      <w:r w:rsidR="00110024" w:rsidRPr="00B63188">
        <w:rPr>
          <w:sz w:val="24"/>
          <w:szCs w:val="24"/>
        </w:rPr>
        <w:t xml:space="preserve">the </w:t>
      </w:r>
      <w:r w:rsidRPr="00B63188">
        <w:rPr>
          <w:sz w:val="24"/>
          <w:szCs w:val="24"/>
        </w:rPr>
        <w:t xml:space="preserve">next </w:t>
      </w:r>
      <w:r w:rsidR="00C109E4" w:rsidRPr="00B63188">
        <w:rPr>
          <w:sz w:val="24"/>
          <w:szCs w:val="24"/>
        </w:rPr>
        <w:t xml:space="preserve">AGM </w:t>
      </w:r>
      <w:r w:rsidR="00A0567E" w:rsidRPr="00B63188">
        <w:rPr>
          <w:sz w:val="24"/>
          <w:szCs w:val="24"/>
        </w:rPr>
        <w:t xml:space="preserve"> </w:t>
      </w:r>
    </w:p>
    <w:p w:rsidR="00B63188" w:rsidRPr="00B63188" w:rsidRDefault="00B63188" w:rsidP="00B63188">
      <w:pPr>
        <w:rPr>
          <w:sz w:val="24"/>
          <w:szCs w:val="24"/>
        </w:rPr>
      </w:pPr>
    </w:p>
    <w:p w:rsidR="00C109E4" w:rsidRPr="00B63188" w:rsidRDefault="00C109E4" w:rsidP="00C109E4">
      <w:pPr>
        <w:rPr>
          <w:sz w:val="24"/>
          <w:szCs w:val="24"/>
        </w:rPr>
      </w:pPr>
    </w:p>
    <w:p w:rsidR="00C109E4" w:rsidRPr="00B63188" w:rsidRDefault="003C51AA" w:rsidP="00C109E4">
      <w:pPr>
        <w:rPr>
          <w:sz w:val="24"/>
          <w:szCs w:val="24"/>
        </w:rPr>
      </w:pPr>
      <w:r>
        <w:rPr>
          <w:sz w:val="24"/>
          <w:szCs w:val="24"/>
        </w:rPr>
        <w:t xml:space="preserve">To be confirmed.  This was likely to be </w:t>
      </w:r>
      <w:r w:rsidR="00281055">
        <w:rPr>
          <w:sz w:val="24"/>
          <w:szCs w:val="24"/>
        </w:rPr>
        <w:t xml:space="preserve">on </w:t>
      </w:r>
      <w:r>
        <w:rPr>
          <w:sz w:val="24"/>
          <w:szCs w:val="24"/>
        </w:rPr>
        <w:t>4 July 2016</w:t>
      </w:r>
      <w:r w:rsidR="0052325B">
        <w:rPr>
          <w:sz w:val="24"/>
          <w:szCs w:val="24"/>
        </w:rPr>
        <w:t xml:space="preserve">.  </w:t>
      </w:r>
      <w:r>
        <w:rPr>
          <w:sz w:val="24"/>
          <w:szCs w:val="24"/>
        </w:rPr>
        <w:t xml:space="preserve">  </w:t>
      </w:r>
    </w:p>
    <w:p w:rsidR="00C109E4" w:rsidRPr="00B63188" w:rsidRDefault="00C109E4" w:rsidP="00C109E4">
      <w:pPr>
        <w:rPr>
          <w:sz w:val="24"/>
          <w:szCs w:val="24"/>
        </w:rPr>
      </w:pPr>
    </w:p>
    <w:p w:rsidR="002E1243" w:rsidRPr="00B63188" w:rsidRDefault="002E1243" w:rsidP="002E1243">
      <w:pPr>
        <w:numPr>
          <w:ilvl w:val="0"/>
          <w:numId w:val="1"/>
        </w:numPr>
        <w:rPr>
          <w:sz w:val="24"/>
          <w:szCs w:val="24"/>
        </w:rPr>
      </w:pPr>
      <w:r w:rsidRPr="00B63188">
        <w:rPr>
          <w:sz w:val="24"/>
          <w:szCs w:val="24"/>
        </w:rPr>
        <w:t>AOB</w:t>
      </w:r>
    </w:p>
    <w:p w:rsidR="00E51385" w:rsidRPr="00B63188" w:rsidRDefault="00E51385" w:rsidP="00E51385">
      <w:pPr>
        <w:rPr>
          <w:sz w:val="24"/>
          <w:szCs w:val="24"/>
        </w:rPr>
      </w:pPr>
    </w:p>
    <w:p w:rsidR="000A1AED" w:rsidRPr="00B63188" w:rsidRDefault="00C109E4">
      <w:pPr>
        <w:rPr>
          <w:b/>
          <w:sz w:val="24"/>
          <w:szCs w:val="24"/>
        </w:rPr>
      </w:pPr>
      <w:r w:rsidRPr="00B63188">
        <w:rPr>
          <w:sz w:val="24"/>
          <w:szCs w:val="24"/>
        </w:rPr>
        <w:t xml:space="preserve">MC thanked the outgoing Secretary, Sandy Wilkinson.   </w:t>
      </w:r>
      <w:r w:rsidR="000A1AED" w:rsidRPr="00B63188">
        <w:rPr>
          <w:b/>
          <w:sz w:val="24"/>
          <w:szCs w:val="24"/>
        </w:rPr>
        <w:br w:type="page"/>
      </w:r>
    </w:p>
    <w:p w:rsidR="000A1AED" w:rsidRDefault="000A1AED" w:rsidP="000A1AED">
      <w:pPr>
        <w:jc w:val="center"/>
        <w:rPr>
          <w:b/>
          <w:sz w:val="22"/>
          <w:szCs w:val="22"/>
        </w:rPr>
      </w:pPr>
      <w:r>
        <w:rPr>
          <w:b/>
          <w:sz w:val="22"/>
          <w:szCs w:val="22"/>
        </w:rPr>
        <w:lastRenderedPageBreak/>
        <w:t>APPENDIX I – REPORT FROM THE SECRETARY</w:t>
      </w:r>
    </w:p>
    <w:p w:rsidR="000A1AED" w:rsidRDefault="000A1AED" w:rsidP="000A1AED">
      <w:pPr>
        <w:rPr>
          <w:b/>
          <w:sz w:val="22"/>
          <w:szCs w:val="22"/>
        </w:rPr>
      </w:pPr>
    </w:p>
    <w:p w:rsidR="000A1AED" w:rsidRPr="00C45621" w:rsidRDefault="000A1AED" w:rsidP="000A1AED">
      <w:pPr>
        <w:rPr>
          <w:b/>
          <w:sz w:val="22"/>
          <w:szCs w:val="22"/>
        </w:rPr>
      </w:pPr>
      <w:r w:rsidRPr="00C45621">
        <w:rPr>
          <w:b/>
          <w:sz w:val="22"/>
          <w:szCs w:val="22"/>
        </w:rPr>
        <w:t xml:space="preserve">Secretary’s Report </w:t>
      </w:r>
    </w:p>
    <w:p w:rsidR="000A1AED" w:rsidRPr="006A5BFA" w:rsidRDefault="000A1AED" w:rsidP="000A1AED">
      <w:pPr>
        <w:rPr>
          <w:sz w:val="22"/>
          <w:szCs w:val="22"/>
        </w:rPr>
      </w:pPr>
    </w:p>
    <w:p w:rsidR="000A1AED" w:rsidRPr="006A5BFA" w:rsidRDefault="000A1AED" w:rsidP="000A1AED">
      <w:pPr>
        <w:rPr>
          <w:b/>
          <w:sz w:val="22"/>
          <w:szCs w:val="22"/>
        </w:rPr>
      </w:pPr>
      <w:r w:rsidRPr="006A5BFA">
        <w:rPr>
          <w:b/>
          <w:sz w:val="22"/>
          <w:szCs w:val="22"/>
        </w:rPr>
        <w:t>Funding Schemes (since January 2015)</w:t>
      </w:r>
    </w:p>
    <w:p w:rsidR="000A1AED" w:rsidRPr="006A5BFA" w:rsidRDefault="000A1AED" w:rsidP="000A1AED">
      <w:pPr>
        <w:rPr>
          <w:b/>
          <w:sz w:val="22"/>
          <w:szCs w:val="22"/>
        </w:rPr>
      </w:pPr>
    </w:p>
    <w:p w:rsidR="000A1AED" w:rsidRPr="006A5BFA" w:rsidRDefault="000A1AED" w:rsidP="000A1AED">
      <w:pPr>
        <w:rPr>
          <w:b/>
          <w:sz w:val="22"/>
          <w:szCs w:val="22"/>
        </w:rPr>
      </w:pPr>
      <w:r w:rsidRPr="006A5BFA">
        <w:rPr>
          <w:b/>
          <w:sz w:val="22"/>
          <w:szCs w:val="22"/>
        </w:rPr>
        <w:t>REFERENCE PLAN FOR SOCIETY EXPENDITURE [Agreed in July 2014]</w:t>
      </w:r>
    </w:p>
    <w:p w:rsidR="000A1AED" w:rsidRPr="006A5BFA" w:rsidRDefault="000A1AED" w:rsidP="000A1AED">
      <w:pPr>
        <w:rPr>
          <w:sz w:val="22"/>
          <w:szCs w:val="22"/>
        </w:rPr>
      </w:pPr>
      <w:r w:rsidRPr="006A5BFA">
        <w:rPr>
          <w:sz w:val="22"/>
          <w:szCs w:val="22"/>
        </w:rPr>
        <w:t>PG Research Bursaries (now up to £1k)</w:t>
      </w:r>
      <w:r w:rsidRPr="006A5BFA">
        <w:rPr>
          <w:sz w:val="22"/>
          <w:szCs w:val="22"/>
        </w:rPr>
        <w:tab/>
      </w:r>
      <w:r w:rsidRPr="006A5BFA">
        <w:rPr>
          <w:sz w:val="22"/>
          <w:szCs w:val="22"/>
        </w:rPr>
        <w:tab/>
      </w:r>
      <w:r w:rsidRPr="006A5BFA">
        <w:rPr>
          <w:sz w:val="22"/>
          <w:szCs w:val="22"/>
        </w:rPr>
        <w:tab/>
      </w:r>
      <w:r w:rsidRPr="006A5BFA">
        <w:rPr>
          <w:sz w:val="22"/>
          <w:szCs w:val="22"/>
        </w:rPr>
        <w:tab/>
        <w:t>£10k</w:t>
      </w:r>
    </w:p>
    <w:p w:rsidR="000A1AED" w:rsidRPr="006A5BFA" w:rsidRDefault="000A1AED" w:rsidP="000A1AED">
      <w:pPr>
        <w:rPr>
          <w:sz w:val="22"/>
          <w:szCs w:val="22"/>
        </w:rPr>
      </w:pPr>
      <w:r w:rsidRPr="006A5BFA">
        <w:rPr>
          <w:sz w:val="22"/>
          <w:szCs w:val="22"/>
        </w:rPr>
        <w:t>Postgrad Panels (2x£2k)</w:t>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t>£4k</w:t>
      </w:r>
    </w:p>
    <w:p w:rsidR="000A1AED" w:rsidRPr="006A5BFA" w:rsidRDefault="000A1AED" w:rsidP="000A1AED">
      <w:pPr>
        <w:rPr>
          <w:sz w:val="22"/>
          <w:szCs w:val="22"/>
        </w:rPr>
      </w:pPr>
      <w:r w:rsidRPr="006A5BFA">
        <w:rPr>
          <w:sz w:val="22"/>
          <w:szCs w:val="22"/>
        </w:rPr>
        <w:t>Ralph Gibson Award (1x award)</w:t>
      </w:r>
      <w:r w:rsidRPr="006A5BFA">
        <w:rPr>
          <w:sz w:val="22"/>
          <w:szCs w:val="22"/>
        </w:rPr>
        <w:tab/>
      </w:r>
      <w:r w:rsidRPr="006A5BFA">
        <w:rPr>
          <w:sz w:val="22"/>
          <w:szCs w:val="22"/>
        </w:rPr>
        <w:tab/>
      </w:r>
      <w:r w:rsidRPr="006A5BFA">
        <w:rPr>
          <w:sz w:val="22"/>
          <w:szCs w:val="22"/>
        </w:rPr>
        <w:tab/>
      </w:r>
      <w:r w:rsidRPr="006A5BFA">
        <w:rPr>
          <w:sz w:val="22"/>
          <w:szCs w:val="22"/>
        </w:rPr>
        <w:tab/>
        <w:t>£3k</w:t>
      </w:r>
    </w:p>
    <w:p w:rsidR="000A1AED" w:rsidRPr="006A5BFA" w:rsidRDefault="000A1AED" w:rsidP="000A1AED">
      <w:pPr>
        <w:rPr>
          <w:sz w:val="22"/>
          <w:szCs w:val="22"/>
        </w:rPr>
      </w:pPr>
      <w:r w:rsidRPr="006A5BFA">
        <w:rPr>
          <w:sz w:val="22"/>
          <w:szCs w:val="22"/>
        </w:rPr>
        <w:t>PG Conference Bursaries (10x£300)</w:t>
      </w:r>
      <w:r w:rsidRPr="006A5BFA">
        <w:rPr>
          <w:sz w:val="22"/>
          <w:szCs w:val="22"/>
        </w:rPr>
        <w:tab/>
      </w:r>
      <w:r w:rsidRPr="006A5BFA">
        <w:rPr>
          <w:sz w:val="22"/>
          <w:szCs w:val="22"/>
        </w:rPr>
        <w:tab/>
      </w:r>
      <w:r w:rsidRPr="006A5BFA">
        <w:rPr>
          <w:sz w:val="22"/>
          <w:szCs w:val="22"/>
        </w:rPr>
        <w:tab/>
      </w:r>
      <w:r w:rsidRPr="006A5BFA">
        <w:rPr>
          <w:sz w:val="22"/>
          <w:szCs w:val="22"/>
        </w:rPr>
        <w:tab/>
        <w:t>£3k</w:t>
      </w:r>
    </w:p>
    <w:p w:rsidR="000A1AED" w:rsidRPr="006A5BFA" w:rsidRDefault="000A1AED" w:rsidP="000A1AED">
      <w:pPr>
        <w:rPr>
          <w:sz w:val="22"/>
          <w:szCs w:val="22"/>
        </w:rPr>
      </w:pPr>
      <w:r w:rsidRPr="006A5BFA">
        <w:rPr>
          <w:sz w:val="22"/>
          <w:szCs w:val="22"/>
        </w:rPr>
        <w:t>Conference Grants (6x£500)</w:t>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t>£3k</w:t>
      </w:r>
    </w:p>
    <w:p w:rsidR="000A1AED" w:rsidRPr="006A5BFA" w:rsidRDefault="000A1AED" w:rsidP="000A1AED">
      <w:pPr>
        <w:rPr>
          <w:sz w:val="22"/>
          <w:szCs w:val="22"/>
        </w:rPr>
      </w:pPr>
      <w:r w:rsidRPr="006A5BFA">
        <w:rPr>
          <w:sz w:val="22"/>
          <w:szCs w:val="22"/>
        </w:rPr>
        <w:t xml:space="preserve">Discretionary </w:t>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t>£2k</w:t>
      </w:r>
    </w:p>
    <w:p w:rsidR="000A1AED" w:rsidRPr="006A5BFA" w:rsidRDefault="000A1AED" w:rsidP="000A1AED">
      <w:pPr>
        <w:rPr>
          <w:sz w:val="22"/>
          <w:szCs w:val="22"/>
        </w:rPr>
      </w:pPr>
      <w:r w:rsidRPr="006A5BFA">
        <w:rPr>
          <w:sz w:val="22"/>
          <w:szCs w:val="22"/>
        </w:rPr>
        <w:t xml:space="preserve">Total </w:t>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r>
      <w:r w:rsidRPr="006A5BFA">
        <w:rPr>
          <w:sz w:val="22"/>
          <w:szCs w:val="22"/>
        </w:rPr>
        <w:tab/>
        <w:t xml:space="preserve">£25k </w:t>
      </w:r>
    </w:p>
    <w:p w:rsidR="000A1AED" w:rsidRPr="006A5BFA" w:rsidRDefault="000A1AED" w:rsidP="000A1AED">
      <w:pPr>
        <w:rPr>
          <w:b/>
          <w:sz w:val="22"/>
          <w:szCs w:val="22"/>
        </w:rPr>
      </w:pPr>
    </w:p>
    <w:p w:rsidR="000A1AED" w:rsidRPr="006A5BFA" w:rsidRDefault="000A1AED" w:rsidP="000A1AED">
      <w:pPr>
        <w:rPr>
          <w:b/>
          <w:sz w:val="22"/>
          <w:szCs w:val="22"/>
        </w:rPr>
      </w:pPr>
      <w:r w:rsidRPr="006A5BFA">
        <w:rPr>
          <w:b/>
          <w:sz w:val="22"/>
          <w:szCs w:val="22"/>
        </w:rPr>
        <w:t xml:space="preserve">Research Grant Scheme </w:t>
      </w:r>
    </w:p>
    <w:tbl>
      <w:tblPr>
        <w:tblW w:w="6200" w:type="dxa"/>
        <w:tblLook w:val="04A0" w:firstRow="1" w:lastRow="0" w:firstColumn="1" w:lastColumn="0" w:noHBand="0" w:noVBand="1"/>
      </w:tblPr>
      <w:tblGrid>
        <w:gridCol w:w="1400"/>
        <w:gridCol w:w="1072"/>
        <w:gridCol w:w="960"/>
        <w:gridCol w:w="1023"/>
        <w:gridCol w:w="960"/>
        <w:gridCol w:w="960"/>
      </w:tblGrid>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Fein</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Stephen</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QMU</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1000</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Graham</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Erica</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York</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560</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Hermans</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Sven</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St Andrews</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1000</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Honey</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Emily</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Oxford</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500</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Norton</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Mason</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Edge Hill</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750</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Redding</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Benjamin</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Warwick</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1000</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Rispin</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William</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Warwick</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477</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Shtasel</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Rebecca</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Sussex</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828</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Tavernese</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Claudia</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Durham</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1000</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Veneziani</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Enrico</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p>
        </w:tc>
        <w:tc>
          <w:tcPr>
            <w:tcW w:w="1920" w:type="dxa"/>
            <w:gridSpan w:val="2"/>
            <w:tcBorders>
              <w:top w:val="nil"/>
              <w:left w:val="nil"/>
              <w:bottom w:val="nil"/>
              <w:right w:val="nil"/>
            </w:tcBorders>
            <w:shd w:val="clear" w:color="auto" w:fill="auto"/>
            <w:noWrap/>
            <w:vAlign w:val="bottom"/>
            <w:hideMark/>
          </w:tcPr>
          <w:p w:rsidR="000A1AED" w:rsidRPr="007D5B05" w:rsidRDefault="000A1AED" w:rsidP="00302186">
            <w:pPr>
              <w:rPr>
                <w:color w:val="000000"/>
                <w:sz w:val="22"/>
                <w:szCs w:val="22"/>
              </w:rPr>
            </w:pPr>
            <w:r w:rsidRPr="007D5B05">
              <w:rPr>
                <w:color w:val="000000"/>
                <w:sz w:val="22"/>
                <w:szCs w:val="22"/>
              </w:rPr>
              <w:t>St Andrews</w:t>
            </w: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7D5B05">
              <w:rPr>
                <w:color w:val="000000"/>
                <w:sz w:val="22"/>
                <w:szCs w:val="22"/>
              </w:rPr>
              <w:t>800</w:t>
            </w: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r>
      <w:tr w:rsidR="000A1AED" w:rsidRPr="007D5B05" w:rsidTr="00302186">
        <w:trPr>
          <w:trHeight w:val="300"/>
        </w:trPr>
        <w:tc>
          <w:tcPr>
            <w:tcW w:w="140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rPr>
                <w:sz w:val="22"/>
                <w:szCs w:val="22"/>
              </w:rPr>
            </w:pPr>
          </w:p>
        </w:tc>
        <w:tc>
          <w:tcPr>
            <w:tcW w:w="960" w:type="dxa"/>
            <w:tcBorders>
              <w:top w:val="nil"/>
              <w:left w:val="nil"/>
              <w:bottom w:val="nil"/>
              <w:right w:val="nil"/>
            </w:tcBorders>
            <w:shd w:val="clear" w:color="auto" w:fill="auto"/>
            <w:noWrap/>
            <w:vAlign w:val="bottom"/>
            <w:hideMark/>
          </w:tcPr>
          <w:p w:rsidR="000A1AED" w:rsidRPr="007D5B05" w:rsidRDefault="000A1AED" w:rsidP="00302186">
            <w:pPr>
              <w:jc w:val="right"/>
              <w:rPr>
                <w:color w:val="000000"/>
                <w:sz w:val="22"/>
                <w:szCs w:val="22"/>
              </w:rPr>
            </w:pPr>
            <w:r w:rsidRPr="006A5BFA">
              <w:rPr>
                <w:sz w:val="22"/>
                <w:szCs w:val="22"/>
              </w:rPr>
              <w:t>£</w:t>
            </w:r>
            <w:r w:rsidRPr="007D5B05">
              <w:rPr>
                <w:color w:val="000000"/>
                <w:sz w:val="22"/>
                <w:szCs w:val="22"/>
              </w:rPr>
              <w:t>7</w:t>
            </w:r>
            <w:r>
              <w:rPr>
                <w:color w:val="000000"/>
              </w:rPr>
              <w:t>,</w:t>
            </w:r>
            <w:r w:rsidRPr="007D5B05">
              <w:rPr>
                <w:color w:val="000000"/>
                <w:sz w:val="22"/>
                <w:szCs w:val="22"/>
              </w:rPr>
              <w:t>915</w:t>
            </w:r>
          </w:p>
        </w:tc>
      </w:tr>
    </w:tbl>
    <w:p w:rsidR="000A1AED" w:rsidRPr="006A5BFA" w:rsidRDefault="000A1AED" w:rsidP="000A1AED">
      <w:pPr>
        <w:rPr>
          <w:sz w:val="22"/>
          <w:szCs w:val="22"/>
        </w:rPr>
      </w:pPr>
    </w:p>
    <w:p w:rsidR="000A1AED" w:rsidRPr="006A5BFA" w:rsidRDefault="000A1AED" w:rsidP="000A1AED">
      <w:pPr>
        <w:rPr>
          <w:b/>
          <w:sz w:val="22"/>
          <w:szCs w:val="22"/>
        </w:rPr>
      </w:pPr>
      <w:r w:rsidRPr="006A5BFA">
        <w:rPr>
          <w:b/>
          <w:sz w:val="22"/>
          <w:szCs w:val="22"/>
        </w:rPr>
        <w:t xml:space="preserve">Conference Grant Scheme </w:t>
      </w:r>
    </w:p>
    <w:p w:rsidR="000A1AED" w:rsidRPr="006A5BFA" w:rsidRDefault="000A1AED" w:rsidP="000A1AED">
      <w:pPr>
        <w:rPr>
          <w:sz w:val="22"/>
          <w:szCs w:val="22"/>
        </w:rPr>
      </w:pPr>
      <w:r w:rsidRPr="006A5BFA">
        <w:rPr>
          <w:sz w:val="22"/>
          <w:szCs w:val="22"/>
        </w:rPr>
        <w:t>Current Round</w:t>
      </w:r>
    </w:p>
    <w:p w:rsidR="000A1AED" w:rsidRPr="006A5BFA" w:rsidRDefault="000A1AED" w:rsidP="000A1AED">
      <w:pPr>
        <w:rPr>
          <w:sz w:val="22"/>
          <w:szCs w:val="22"/>
        </w:rPr>
      </w:pPr>
      <w:r w:rsidRPr="006A5BFA">
        <w:rPr>
          <w:sz w:val="22"/>
          <w:szCs w:val="22"/>
        </w:rPr>
        <w:t xml:space="preserve">Charlotte Faucher (Queen Mary) with Olivier Rauch (Lycée Charles de Gaulle), one day conference on </w:t>
      </w:r>
      <w:r w:rsidRPr="006A5BFA">
        <w:rPr>
          <w:bCs/>
          <w:i/>
          <w:sz w:val="22"/>
          <w:szCs w:val="22"/>
        </w:rPr>
        <w:t xml:space="preserve">La diffusion de la langue française dans le contexte anglais : volontarisme, obstacles, rivalités / </w:t>
      </w:r>
      <w:r w:rsidRPr="006A5BFA">
        <w:rPr>
          <w:i/>
          <w:sz w:val="22"/>
          <w:szCs w:val="22"/>
        </w:rPr>
        <w:t xml:space="preserve">The spread of the French language across the British world: diplomacy, challenges and rivalries </w:t>
      </w:r>
      <w:r w:rsidRPr="006A5BFA">
        <w:rPr>
          <w:sz w:val="22"/>
          <w:szCs w:val="22"/>
        </w:rPr>
        <w:t xml:space="preserve">(London, May 2015), £300.  </w:t>
      </w:r>
    </w:p>
    <w:p w:rsidR="000A1AED" w:rsidRPr="00C623DA" w:rsidRDefault="000A1AED" w:rsidP="000A1AED">
      <w:pPr>
        <w:spacing w:after="160" w:line="259" w:lineRule="auto"/>
        <w:rPr>
          <w:sz w:val="22"/>
          <w:szCs w:val="22"/>
        </w:rPr>
      </w:pPr>
    </w:p>
    <w:p w:rsidR="000A1AED" w:rsidRPr="006A5BFA" w:rsidRDefault="000A1AED" w:rsidP="000A1AED">
      <w:pPr>
        <w:pStyle w:val="Default"/>
        <w:rPr>
          <w:rFonts w:ascii="Times New Roman" w:hAnsi="Times New Roman" w:cs="Times New Roman"/>
          <w:sz w:val="22"/>
          <w:szCs w:val="22"/>
        </w:rPr>
      </w:pPr>
      <w:r w:rsidRPr="006A5BFA">
        <w:rPr>
          <w:rFonts w:ascii="Times New Roman" w:hAnsi="Times New Roman" w:cs="Times New Roman"/>
          <w:sz w:val="22"/>
          <w:szCs w:val="22"/>
        </w:rPr>
        <w:t xml:space="preserve"> Joan Tumblety (Southampton) with Catherine Kelly (University of Western Australia), </w:t>
      </w:r>
    </w:p>
    <w:p w:rsidR="000A1AED" w:rsidRPr="006A5BFA" w:rsidRDefault="000A1AED" w:rsidP="000A1AED">
      <w:pPr>
        <w:rPr>
          <w:sz w:val="22"/>
          <w:szCs w:val="22"/>
        </w:rPr>
      </w:pPr>
      <w:r w:rsidRPr="006A5BFA">
        <w:rPr>
          <w:color w:val="000000"/>
          <w:sz w:val="22"/>
          <w:szCs w:val="22"/>
        </w:rPr>
        <w:t xml:space="preserve"> ‘Physicians, persuasion and politics: lobbying and culture in Britain and France, c.1780-1940’ (Southampton, July 2015), </w:t>
      </w:r>
      <w:r w:rsidRPr="006A5BFA">
        <w:rPr>
          <w:sz w:val="22"/>
          <w:szCs w:val="22"/>
        </w:rPr>
        <w:t>£398</w:t>
      </w:r>
    </w:p>
    <w:p w:rsidR="000A1AED" w:rsidRPr="006A5BFA" w:rsidRDefault="000A1AED" w:rsidP="000A1AED">
      <w:pPr>
        <w:rPr>
          <w:sz w:val="22"/>
          <w:szCs w:val="22"/>
        </w:rPr>
      </w:pPr>
    </w:p>
    <w:p w:rsidR="000A1AED" w:rsidRPr="006A5BFA" w:rsidRDefault="000A1AED" w:rsidP="000A1AED">
      <w:pPr>
        <w:rPr>
          <w:sz w:val="22"/>
          <w:szCs w:val="22"/>
        </w:rPr>
      </w:pPr>
      <w:r w:rsidRPr="006A5BFA">
        <w:rPr>
          <w:sz w:val="22"/>
          <w:szCs w:val="22"/>
        </w:rPr>
        <w:t>Previous Round</w:t>
      </w:r>
    </w:p>
    <w:p w:rsidR="000A1AED" w:rsidRPr="006A5BFA" w:rsidRDefault="000A1AED" w:rsidP="000A1AED">
      <w:pPr>
        <w:rPr>
          <w:sz w:val="22"/>
          <w:szCs w:val="22"/>
        </w:rPr>
      </w:pPr>
      <w:r w:rsidRPr="006A5BFA">
        <w:rPr>
          <w:sz w:val="22"/>
          <w:szCs w:val="22"/>
        </w:rPr>
        <w:t xml:space="preserve">Two awards of £500 were made. </w:t>
      </w:r>
    </w:p>
    <w:p w:rsidR="000A1AED" w:rsidRPr="006A5BFA" w:rsidRDefault="000A1AED" w:rsidP="000A1AED">
      <w:pPr>
        <w:rPr>
          <w:sz w:val="22"/>
          <w:szCs w:val="22"/>
        </w:rPr>
      </w:pPr>
    </w:p>
    <w:p w:rsidR="000A1AED" w:rsidRPr="006A5BFA" w:rsidRDefault="000A1AED" w:rsidP="000A1AED">
      <w:pPr>
        <w:rPr>
          <w:sz w:val="22"/>
          <w:szCs w:val="22"/>
        </w:rPr>
      </w:pPr>
      <w:r w:rsidRPr="006A5BFA">
        <w:rPr>
          <w:sz w:val="22"/>
          <w:szCs w:val="22"/>
        </w:rPr>
        <w:t>Total for this scheme 2014-2015 = £1</w:t>
      </w:r>
      <w:r>
        <w:t>,</w:t>
      </w:r>
      <w:r w:rsidRPr="006A5BFA">
        <w:rPr>
          <w:sz w:val="22"/>
          <w:szCs w:val="22"/>
        </w:rPr>
        <w:t>698</w:t>
      </w:r>
    </w:p>
    <w:p w:rsidR="000A1AED" w:rsidRPr="006A5BFA" w:rsidRDefault="000A1AED" w:rsidP="000A1AED">
      <w:pPr>
        <w:rPr>
          <w:sz w:val="22"/>
          <w:szCs w:val="22"/>
        </w:rPr>
      </w:pPr>
      <w:r>
        <w:t xml:space="preserve">Annual budget: </w:t>
      </w:r>
      <w:r w:rsidRPr="006A5BFA">
        <w:rPr>
          <w:sz w:val="22"/>
          <w:szCs w:val="22"/>
        </w:rPr>
        <w:t>£</w:t>
      </w:r>
      <w:r>
        <w:t>3,000</w:t>
      </w:r>
    </w:p>
    <w:p w:rsidR="000A1AED" w:rsidRPr="006A5BFA" w:rsidRDefault="000A1AED" w:rsidP="000A1AED">
      <w:pPr>
        <w:rPr>
          <w:sz w:val="22"/>
          <w:szCs w:val="22"/>
        </w:rPr>
      </w:pPr>
    </w:p>
    <w:p w:rsidR="000A1AED" w:rsidRPr="006A5BFA" w:rsidRDefault="000A1AED" w:rsidP="000A1AED">
      <w:pPr>
        <w:rPr>
          <w:sz w:val="22"/>
          <w:szCs w:val="22"/>
        </w:rPr>
      </w:pPr>
    </w:p>
    <w:p w:rsidR="000A1AED" w:rsidRPr="006A5BFA" w:rsidRDefault="000A1AED" w:rsidP="000A1AED">
      <w:pPr>
        <w:rPr>
          <w:b/>
          <w:sz w:val="22"/>
          <w:szCs w:val="22"/>
        </w:rPr>
      </w:pPr>
      <w:r w:rsidRPr="006A5BFA">
        <w:rPr>
          <w:b/>
          <w:sz w:val="22"/>
          <w:szCs w:val="22"/>
        </w:rPr>
        <w:lastRenderedPageBreak/>
        <w:t xml:space="preserve">Conference Bursary Scheme </w:t>
      </w:r>
    </w:p>
    <w:p w:rsidR="000A1AED" w:rsidRPr="006A5BFA" w:rsidRDefault="000A1AED" w:rsidP="000A1AED">
      <w:pPr>
        <w:rPr>
          <w:sz w:val="22"/>
          <w:szCs w:val="22"/>
        </w:rPr>
      </w:pPr>
    </w:p>
    <w:p w:rsidR="000A1AED" w:rsidRPr="006A5BFA" w:rsidRDefault="000A1AED" w:rsidP="000A1AED">
      <w:pPr>
        <w:rPr>
          <w:sz w:val="22"/>
          <w:szCs w:val="22"/>
        </w:rPr>
      </w:pPr>
      <w:r w:rsidRPr="006A5BFA">
        <w:rPr>
          <w:sz w:val="22"/>
          <w:szCs w:val="22"/>
        </w:rPr>
        <w:t xml:space="preserve">Charlotte Faucher (QMUL), £285 </w:t>
      </w:r>
    </w:p>
    <w:p w:rsidR="000A1AED" w:rsidRPr="006A5BFA" w:rsidRDefault="000A1AED" w:rsidP="000A1AED">
      <w:pPr>
        <w:rPr>
          <w:sz w:val="22"/>
          <w:szCs w:val="22"/>
        </w:rPr>
      </w:pPr>
      <w:r w:rsidRPr="006A5BFA">
        <w:rPr>
          <w:sz w:val="22"/>
          <w:szCs w:val="22"/>
        </w:rPr>
        <w:t xml:space="preserve">Alexandra Jordan (Durham), £300 </w:t>
      </w:r>
    </w:p>
    <w:p w:rsidR="000A1AED" w:rsidRPr="006A5BFA" w:rsidRDefault="000A1AED" w:rsidP="000A1AED">
      <w:pPr>
        <w:rPr>
          <w:sz w:val="22"/>
          <w:szCs w:val="22"/>
        </w:rPr>
      </w:pPr>
      <w:r w:rsidRPr="006A5BFA">
        <w:rPr>
          <w:sz w:val="22"/>
          <w:szCs w:val="22"/>
        </w:rPr>
        <w:t>Itay Lotem (QMUL),</w:t>
      </w:r>
      <w:r w:rsidRPr="006A5BFA">
        <w:t xml:space="preserve"> </w:t>
      </w:r>
      <w:r w:rsidRPr="006A5BFA">
        <w:rPr>
          <w:sz w:val="22"/>
          <w:szCs w:val="22"/>
        </w:rPr>
        <w:t xml:space="preserve">£300 </w:t>
      </w:r>
    </w:p>
    <w:p w:rsidR="000A1AED" w:rsidRPr="006A5BFA" w:rsidRDefault="000A1AED" w:rsidP="000A1AED">
      <w:pPr>
        <w:rPr>
          <w:sz w:val="22"/>
          <w:szCs w:val="22"/>
        </w:rPr>
      </w:pPr>
      <w:r w:rsidRPr="006A5BFA">
        <w:rPr>
          <w:sz w:val="22"/>
          <w:szCs w:val="22"/>
        </w:rPr>
        <w:t>Lori Oates (Exeter), £300</w:t>
      </w:r>
    </w:p>
    <w:p w:rsidR="000A1AED" w:rsidRPr="006A5BFA" w:rsidRDefault="000A1AED" w:rsidP="000A1AED">
      <w:pPr>
        <w:rPr>
          <w:sz w:val="22"/>
          <w:szCs w:val="22"/>
        </w:rPr>
      </w:pPr>
      <w:r w:rsidRPr="006A5BFA">
        <w:rPr>
          <w:sz w:val="22"/>
          <w:szCs w:val="22"/>
        </w:rPr>
        <w:t xml:space="preserve">Idir Ouahes (Exeter), £300 </w:t>
      </w:r>
    </w:p>
    <w:p w:rsidR="000A1AED" w:rsidRPr="006A5BFA" w:rsidRDefault="000A1AED" w:rsidP="000A1AED">
      <w:pPr>
        <w:rPr>
          <w:sz w:val="22"/>
          <w:szCs w:val="22"/>
        </w:rPr>
      </w:pPr>
      <w:r w:rsidRPr="006A5BFA">
        <w:rPr>
          <w:sz w:val="22"/>
          <w:szCs w:val="22"/>
        </w:rPr>
        <w:t xml:space="preserve">Anaïs Pedron (QMUL), £188 </w:t>
      </w:r>
    </w:p>
    <w:p w:rsidR="000A1AED" w:rsidRPr="006A5BFA" w:rsidRDefault="000A1AED" w:rsidP="000A1AED">
      <w:pPr>
        <w:rPr>
          <w:sz w:val="22"/>
          <w:szCs w:val="22"/>
        </w:rPr>
      </w:pPr>
      <w:r w:rsidRPr="006A5BFA">
        <w:rPr>
          <w:sz w:val="22"/>
          <w:szCs w:val="22"/>
        </w:rPr>
        <w:t xml:space="preserve">Hope Williard (Leeds), £300 </w:t>
      </w:r>
    </w:p>
    <w:p w:rsidR="000A1AED" w:rsidRPr="006A5BFA" w:rsidRDefault="000A1AED" w:rsidP="000A1AED">
      <w:pPr>
        <w:rPr>
          <w:sz w:val="22"/>
          <w:szCs w:val="22"/>
        </w:rPr>
      </w:pPr>
    </w:p>
    <w:p w:rsidR="000A1AED" w:rsidRPr="006A5BFA" w:rsidRDefault="000A1AED" w:rsidP="000A1AED">
      <w:pPr>
        <w:rPr>
          <w:sz w:val="22"/>
          <w:szCs w:val="22"/>
        </w:rPr>
      </w:pPr>
      <w:r w:rsidRPr="006A5BFA">
        <w:rPr>
          <w:b/>
          <w:sz w:val="22"/>
          <w:szCs w:val="22"/>
        </w:rPr>
        <w:t>Total (March 2015</w:t>
      </w:r>
      <w:r>
        <w:rPr>
          <w:b/>
        </w:rPr>
        <w:t xml:space="preserve"> round</w:t>
      </w:r>
      <w:r w:rsidRPr="006A5BFA">
        <w:rPr>
          <w:b/>
          <w:sz w:val="22"/>
          <w:szCs w:val="22"/>
        </w:rPr>
        <w:t>):</w:t>
      </w:r>
      <w:r w:rsidRPr="006A5BFA">
        <w:rPr>
          <w:sz w:val="22"/>
          <w:szCs w:val="22"/>
        </w:rPr>
        <w:t xml:space="preserve"> £1973 GBP</w:t>
      </w:r>
    </w:p>
    <w:p w:rsidR="000A1AED" w:rsidRDefault="000A1AED" w:rsidP="000A1AED">
      <w:r w:rsidRPr="006A5BFA">
        <w:rPr>
          <w:b/>
          <w:sz w:val="22"/>
          <w:szCs w:val="22"/>
        </w:rPr>
        <w:t>Total (September 2014</w:t>
      </w:r>
      <w:r>
        <w:rPr>
          <w:b/>
        </w:rPr>
        <w:t xml:space="preserve"> round</w:t>
      </w:r>
      <w:r w:rsidRPr="006A5BFA">
        <w:rPr>
          <w:b/>
          <w:sz w:val="22"/>
          <w:szCs w:val="22"/>
        </w:rPr>
        <w:t>):</w:t>
      </w:r>
      <w:r w:rsidRPr="006A5BFA">
        <w:rPr>
          <w:sz w:val="22"/>
          <w:szCs w:val="22"/>
        </w:rPr>
        <w:t xml:space="preserve"> £600 </w:t>
      </w:r>
    </w:p>
    <w:p w:rsidR="000A1AED" w:rsidRPr="006A5BFA" w:rsidRDefault="000A1AED" w:rsidP="000A1AED">
      <w:pPr>
        <w:rPr>
          <w:sz w:val="22"/>
          <w:szCs w:val="22"/>
        </w:rPr>
      </w:pPr>
      <w:r w:rsidRPr="006A5BFA">
        <w:rPr>
          <w:b/>
          <w:sz w:val="22"/>
          <w:szCs w:val="22"/>
        </w:rPr>
        <w:t>Spent:</w:t>
      </w:r>
      <w:r w:rsidRPr="006A5BFA">
        <w:rPr>
          <w:sz w:val="22"/>
          <w:szCs w:val="22"/>
        </w:rPr>
        <w:t xml:space="preserve"> £2</w:t>
      </w:r>
      <w:r>
        <w:t>,</w:t>
      </w:r>
      <w:r w:rsidRPr="006A5BFA">
        <w:rPr>
          <w:sz w:val="22"/>
          <w:szCs w:val="22"/>
        </w:rPr>
        <w:t xml:space="preserve">573 GBP </w:t>
      </w:r>
    </w:p>
    <w:p w:rsidR="000A1AED" w:rsidRPr="006A5BFA" w:rsidRDefault="000A1AED" w:rsidP="000A1AED">
      <w:pPr>
        <w:rPr>
          <w:sz w:val="22"/>
          <w:szCs w:val="22"/>
        </w:rPr>
      </w:pPr>
      <w:r w:rsidRPr="006A5BFA">
        <w:rPr>
          <w:b/>
          <w:sz w:val="22"/>
          <w:szCs w:val="22"/>
        </w:rPr>
        <w:t>Annual budget:</w:t>
      </w:r>
      <w:r w:rsidRPr="006A5BFA">
        <w:rPr>
          <w:sz w:val="22"/>
          <w:szCs w:val="22"/>
        </w:rPr>
        <w:t xml:space="preserve"> up to £</w:t>
      </w:r>
      <w:r>
        <w:t>3,000</w:t>
      </w:r>
    </w:p>
    <w:p w:rsidR="000A1AED" w:rsidRDefault="000A1AED" w:rsidP="000A1AED"/>
    <w:p w:rsidR="000A1AED" w:rsidRPr="006A5BFA" w:rsidRDefault="000A1AED" w:rsidP="000A1AED">
      <w:pPr>
        <w:rPr>
          <w:sz w:val="22"/>
          <w:szCs w:val="22"/>
        </w:rPr>
      </w:pPr>
    </w:p>
    <w:p w:rsidR="000A1AED" w:rsidRPr="006A5BFA" w:rsidRDefault="000A1AED" w:rsidP="000A1AED">
      <w:pPr>
        <w:rPr>
          <w:sz w:val="22"/>
          <w:szCs w:val="22"/>
        </w:rPr>
      </w:pPr>
    </w:p>
    <w:p w:rsidR="000A1AED" w:rsidRPr="006A5BFA" w:rsidRDefault="000A1AED" w:rsidP="000A1AED">
      <w:pPr>
        <w:rPr>
          <w:b/>
          <w:sz w:val="22"/>
          <w:szCs w:val="22"/>
        </w:rPr>
      </w:pPr>
      <w:r w:rsidRPr="006A5BFA">
        <w:rPr>
          <w:b/>
          <w:sz w:val="22"/>
          <w:szCs w:val="22"/>
        </w:rPr>
        <w:t>Undergraduate Dissertation Prize 2014</w:t>
      </w:r>
    </w:p>
    <w:p w:rsidR="000A1AED" w:rsidRPr="006A5BFA" w:rsidRDefault="000A1AED" w:rsidP="000A1AED">
      <w:pPr>
        <w:rPr>
          <w:b/>
          <w:sz w:val="22"/>
          <w:szCs w:val="22"/>
        </w:rPr>
      </w:pPr>
      <w:r w:rsidRPr="006A5BFA">
        <w:rPr>
          <w:sz w:val="22"/>
          <w:szCs w:val="22"/>
        </w:rPr>
        <w:t xml:space="preserve">Recommendation of assessors (CE, NP and ST [chair]) to be announced at the committee.  </w:t>
      </w:r>
    </w:p>
    <w:p w:rsidR="000A1AED" w:rsidRDefault="000A1AED" w:rsidP="000A1AED"/>
    <w:p w:rsidR="000A1AED" w:rsidRPr="006A5BFA" w:rsidRDefault="000A1AED" w:rsidP="000A1AED">
      <w:pPr>
        <w:rPr>
          <w:b/>
          <w:sz w:val="22"/>
          <w:szCs w:val="22"/>
        </w:rPr>
      </w:pPr>
      <w:r w:rsidRPr="006A5BFA">
        <w:rPr>
          <w:b/>
          <w:sz w:val="22"/>
          <w:szCs w:val="22"/>
        </w:rPr>
        <w:t>Ralph Gibson Prize</w:t>
      </w:r>
    </w:p>
    <w:p w:rsidR="000A1AED" w:rsidRPr="006A5BFA" w:rsidRDefault="000A1AED" w:rsidP="000A1AED">
      <w:pPr>
        <w:rPr>
          <w:sz w:val="22"/>
          <w:szCs w:val="22"/>
        </w:rPr>
      </w:pPr>
      <w:r w:rsidRPr="006A5BFA">
        <w:rPr>
          <w:sz w:val="22"/>
          <w:szCs w:val="22"/>
        </w:rPr>
        <w:t xml:space="preserve">We received 12 applications this year from research students at Edge Hill, Edinburgh, Exeter, KCL, Leeds, Newcastle, Oxford, Queen Mary, Southampton, St Andrews, UCL, and York. Projects spanned the twelfth century to the present.   Recommendation of assessors (DA, JW and SW [chair]) to be announced at the committee.  </w:t>
      </w:r>
    </w:p>
    <w:p w:rsidR="000A1AED" w:rsidRDefault="000A1AED" w:rsidP="000A1AED">
      <w:pPr>
        <w:rPr>
          <w:b/>
          <w:sz w:val="22"/>
          <w:szCs w:val="22"/>
        </w:rPr>
      </w:pPr>
    </w:p>
    <w:p w:rsidR="000A1AED" w:rsidRDefault="000A1AED" w:rsidP="000A1AED">
      <w:pPr>
        <w:rPr>
          <w:b/>
          <w:sz w:val="22"/>
          <w:szCs w:val="22"/>
        </w:rPr>
      </w:pPr>
    </w:p>
    <w:p w:rsidR="000A1AED" w:rsidRDefault="000A1AED" w:rsidP="000A1AED">
      <w:pPr>
        <w:rPr>
          <w:b/>
          <w:sz w:val="22"/>
          <w:szCs w:val="22"/>
        </w:rPr>
      </w:pPr>
      <w:r>
        <w:rPr>
          <w:b/>
          <w:sz w:val="22"/>
          <w:szCs w:val="22"/>
        </w:rPr>
        <w:br w:type="page"/>
      </w:r>
    </w:p>
    <w:p w:rsidR="000A1AED" w:rsidRDefault="000A1AED" w:rsidP="000A1AED">
      <w:pPr>
        <w:rPr>
          <w:b/>
          <w:sz w:val="22"/>
          <w:szCs w:val="22"/>
        </w:rPr>
        <w:sectPr w:rsidR="000A1AED" w:rsidSect="000050F1">
          <w:pgSz w:w="12240" w:h="15840"/>
          <w:pgMar w:top="1440" w:right="1800" w:bottom="1440" w:left="1800" w:header="720" w:footer="720" w:gutter="0"/>
          <w:cols w:space="720"/>
        </w:sectPr>
      </w:pPr>
    </w:p>
    <w:p w:rsidR="000A1AED" w:rsidRDefault="000A1AED" w:rsidP="000A1AED"/>
    <w:p w:rsidR="000A1AED" w:rsidRDefault="000A1AED" w:rsidP="000A1AED">
      <w:pPr>
        <w:jc w:val="center"/>
        <w:rPr>
          <w:rFonts w:ascii="Arial" w:hAnsi="Arial" w:cs="Arial"/>
          <w:b/>
          <w:u w:val="single"/>
        </w:rPr>
      </w:pPr>
      <w:r w:rsidRPr="000C07A5">
        <w:rPr>
          <w:rFonts w:ascii="Arial" w:hAnsi="Arial" w:cs="Arial"/>
          <w:b/>
          <w:u w:val="single"/>
        </w:rPr>
        <w:t>SOCIETY FOR THE STUDY OF FRENCH HISTORY</w:t>
      </w:r>
    </w:p>
    <w:p w:rsidR="000A1AED" w:rsidRPr="00895ADD" w:rsidRDefault="000A1AED" w:rsidP="000A1AED">
      <w:pPr>
        <w:rPr>
          <w:rFonts w:ascii="Arial" w:hAnsi="Arial" w:cs="Arial"/>
        </w:rPr>
      </w:pPr>
    </w:p>
    <w:p w:rsidR="000A1AED" w:rsidRDefault="000A1AED" w:rsidP="000A1AED">
      <w:pPr>
        <w:jc w:val="center"/>
        <w:rPr>
          <w:rFonts w:ascii="Arial" w:hAnsi="Arial" w:cs="Arial"/>
          <w:b/>
        </w:rPr>
      </w:pPr>
      <w:r w:rsidRPr="006206B4">
        <w:rPr>
          <w:rFonts w:ascii="Arial" w:hAnsi="Arial" w:cs="Arial"/>
          <w:b/>
        </w:rPr>
        <w:t>Running accounts</w:t>
      </w:r>
      <w:r>
        <w:rPr>
          <w:rFonts w:ascii="Arial" w:hAnsi="Arial" w:cs="Arial"/>
          <w:b/>
        </w:rPr>
        <w:t>,</w:t>
      </w:r>
      <w:r w:rsidRPr="006206B4">
        <w:rPr>
          <w:rFonts w:ascii="Arial" w:hAnsi="Arial" w:cs="Arial"/>
          <w:b/>
        </w:rPr>
        <w:t xml:space="preserve"> 20</w:t>
      </w:r>
      <w:r>
        <w:rPr>
          <w:rFonts w:ascii="Arial" w:hAnsi="Arial" w:cs="Arial"/>
          <w:b/>
        </w:rPr>
        <w:t>13</w:t>
      </w:r>
      <w:r w:rsidRPr="006206B4">
        <w:rPr>
          <w:rFonts w:ascii="Arial" w:hAnsi="Arial" w:cs="Arial"/>
          <w:b/>
        </w:rPr>
        <w:t xml:space="preserve"> – present</w:t>
      </w:r>
    </w:p>
    <w:tbl>
      <w:tblPr>
        <w:tblW w:w="0" w:type="auto"/>
        <w:tblInd w:w="108" w:type="dxa"/>
        <w:tblLayout w:type="fixed"/>
        <w:tblLook w:val="04A0" w:firstRow="1" w:lastRow="0" w:firstColumn="1" w:lastColumn="0" w:noHBand="0" w:noVBand="1"/>
      </w:tblPr>
      <w:tblGrid>
        <w:gridCol w:w="4395"/>
        <w:gridCol w:w="1675"/>
        <w:gridCol w:w="1675"/>
        <w:gridCol w:w="1676"/>
        <w:gridCol w:w="1675"/>
        <w:gridCol w:w="1675"/>
        <w:gridCol w:w="1676"/>
      </w:tblGrid>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2013</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2014</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2015</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Pr="00761B24" w:rsidRDefault="000A1AED" w:rsidP="00302186">
            <w:pPr>
              <w:rPr>
                <w:rFonts w:ascii="Arial" w:hAnsi="Arial" w:cs="Arial"/>
                <w:b/>
                <w:i/>
              </w:rPr>
            </w:pPr>
            <w:r w:rsidRPr="00761B24">
              <w:rPr>
                <w:rFonts w:ascii="Arial" w:hAnsi="Arial" w:cs="Arial"/>
                <w:b/>
                <w:i/>
              </w:rPr>
              <w:t>Income</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Old-style membership subscriptions</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£501.50</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£478.00</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£413.00</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OUP profit-share</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£23,951.00</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£24,624.00</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£27,172.00</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INVAC interest</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2012</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£266.70</w:t>
            </w: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2013</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£336.00</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2014</w:t>
            </w: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TBC</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Conference income (publishers etc)</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£0.00</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£0.00</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£74.08</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p>
        </w:tc>
        <w:tc>
          <w:tcPr>
            <w:tcW w:w="1675" w:type="dxa"/>
            <w:tcBorders>
              <w:top w:val="double" w:sz="4" w:space="0" w:color="auto"/>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£24,719.20</w:t>
            </w: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p>
        </w:tc>
        <w:tc>
          <w:tcPr>
            <w:tcW w:w="1675" w:type="dxa"/>
            <w:tcBorders>
              <w:top w:val="double" w:sz="4" w:space="0" w:color="auto"/>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£25,438.00</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p>
        </w:tc>
        <w:tc>
          <w:tcPr>
            <w:tcW w:w="1676" w:type="dxa"/>
            <w:tcBorders>
              <w:top w:val="double" w:sz="4" w:space="0" w:color="auto"/>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£27,659.08</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double" w:sz="4" w:space="0" w:color="auto"/>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double" w:sz="4" w:space="0" w:color="auto"/>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double" w:sz="4" w:space="0" w:color="auto"/>
              <w:left w:val="nil"/>
              <w:bottom w:val="nil"/>
              <w:right w:val="nil"/>
            </w:tcBorders>
            <w:shd w:val="clear" w:color="auto" w:fill="auto"/>
            <w:noWrap/>
            <w:vAlign w:val="bottom"/>
            <w:hideMark/>
          </w:tcPr>
          <w:p w:rsidR="000A1AED" w:rsidRDefault="000A1AED" w:rsidP="00302186">
            <w:pPr>
              <w:rPr>
                <w:rFonts w:ascii="Arial" w:hAnsi="Arial" w:cs="Arial"/>
              </w:rPr>
            </w:pP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Pr="00761B24" w:rsidRDefault="000A1AED" w:rsidP="00302186">
            <w:pPr>
              <w:rPr>
                <w:rFonts w:ascii="Arial" w:hAnsi="Arial" w:cs="Arial"/>
                <w:b/>
                <w:i/>
              </w:rPr>
            </w:pPr>
            <w:r w:rsidRPr="00761B24">
              <w:rPr>
                <w:rFonts w:ascii="Arial" w:hAnsi="Arial" w:cs="Arial"/>
                <w:b/>
                <w:i/>
              </w:rPr>
              <w:t>Expenditure</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Prizes</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£2,300.00</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£6,000.00</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TBA</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Research/Conference Bursaries</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£10,037.27</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£16,189.57</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£10,008.00</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Conference Grants</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£5,844.00</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£2,645.00</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£1,198.00</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Conference Support (incl. annual conference)</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£3,428.15</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£2,828.45</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£2,321.93</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French History expenses (incl. annual prize)</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£1,562.00</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£5,571.54</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£1,456.00</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Committee expenses</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£1,065.94</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£1,491.38</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sidRPr="00312FCA">
              <w:rPr>
                <w:rFonts w:ascii="Arial" w:hAnsi="Arial" w:cs="Arial"/>
              </w:rPr>
              <w:t>£730.32</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r>
              <w:rPr>
                <w:rFonts w:ascii="Arial" w:hAnsi="Arial" w:cs="Arial"/>
              </w:rPr>
              <w:t>Publication support (incl web site)</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£61.70</w:t>
            </w: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£0.00</w:t>
            </w: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sidRPr="00312FCA">
              <w:rPr>
                <w:rFonts w:ascii="Arial" w:hAnsi="Arial" w:cs="Arial"/>
              </w:rPr>
              <w:t>£83.40</w:t>
            </w:r>
          </w:p>
        </w:tc>
      </w:tr>
      <w:tr w:rsidR="000A1AED" w:rsidTr="00302186">
        <w:trPr>
          <w:trHeight w:hRule="exact" w:val="284"/>
        </w:trPr>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p>
        </w:tc>
        <w:tc>
          <w:tcPr>
            <w:tcW w:w="1675" w:type="dxa"/>
            <w:tcBorders>
              <w:top w:val="double" w:sz="4" w:space="0" w:color="auto"/>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£24,299.06</w:t>
            </w: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p>
        </w:tc>
        <w:tc>
          <w:tcPr>
            <w:tcW w:w="1675" w:type="dxa"/>
            <w:tcBorders>
              <w:top w:val="double" w:sz="4" w:space="0" w:color="auto"/>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£34,725.94</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p>
        </w:tc>
        <w:tc>
          <w:tcPr>
            <w:tcW w:w="1676" w:type="dxa"/>
            <w:tcBorders>
              <w:top w:val="double" w:sz="4" w:space="0" w:color="auto"/>
              <w:left w:val="nil"/>
              <w:bottom w:val="double" w:sz="4" w:space="0" w:color="auto"/>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£15,797.65</w:t>
            </w:r>
          </w:p>
        </w:tc>
      </w:tr>
      <w:tr w:rsidR="000A1AED" w:rsidTr="00302186">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double" w:sz="4" w:space="0" w:color="auto"/>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double" w:sz="4" w:space="0" w:color="auto"/>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double" w:sz="4" w:space="0" w:color="auto"/>
              <w:left w:val="nil"/>
              <w:bottom w:val="nil"/>
              <w:right w:val="nil"/>
            </w:tcBorders>
            <w:shd w:val="clear" w:color="auto" w:fill="auto"/>
            <w:noWrap/>
            <w:vAlign w:val="bottom"/>
            <w:hideMark/>
          </w:tcPr>
          <w:p w:rsidR="000A1AED" w:rsidRDefault="000A1AED" w:rsidP="00302186">
            <w:pPr>
              <w:rPr>
                <w:rFonts w:ascii="Arial" w:hAnsi="Arial" w:cs="Arial"/>
              </w:rPr>
            </w:pPr>
          </w:p>
        </w:tc>
      </w:tr>
      <w:tr w:rsidR="000A1AED" w:rsidTr="00302186">
        <w:tc>
          <w:tcPr>
            <w:tcW w:w="439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5"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c>
          <w:tcPr>
            <w:tcW w:w="1676" w:type="dxa"/>
            <w:tcBorders>
              <w:top w:val="nil"/>
              <w:left w:val="nil"/>
              <w:bottom w:val="nil"/>
              <w:right w:val="nil"/>
            </w:tcBorders>
            <w:shd w:val="clear" w:color="auto" w:fill="auto"/>
            <w:noWrap/>
            <w:vAlign w:val="bottom"/>
            <w:hideMark/>
          </w:tcPr>
          <w:p w:rsidR="000A1AED" w:rsidRDefault="000A1AED" w:rsidP="00302186">
            <w:pPr>
              <w:rPr>
                <w:rFonts w:ascii="Arial" w:hAnsi="Arial" w:cs="Arial"/>
              </w:rPr>
            </w:pPr>
          </w:p>
        </w:tc>
      </w:tr>
      <w:tr w:rsidR="000A1AED" w:rsidTr="00302186">
        <w:trPr>
          <w:trHeight w:val="425"/>
        </w:trPr>
        <w:tc>
          <w:tcPr>
            <w:tcW w:w="4395" w:type="dxa"/>
            <w:tcBorders>
              <w:top w:val="nil"/>
              <w:left w:val="nil"/>
              <w:bottom w:val="nil"/>
              <w:right w:val="nil"/>
            </w:tcBorders>
            <w:shd w:val="clear" w:color="auto" w:fill="auto"/>
            <w:noWrap/>
            <w:vAlign w:val="bottom"/>
          </w:tcPr>
          <w:p w:rsidR="000A1AED" w:rsidRDefault="000A1AED" w:rsidP="00302186">
            <w:pPr>
              <w:jc w:val="right"/>
              <w:rPr>
                <w:rFonts w:ascii="Arial" w:hAnsi="Arial" w:cs="Arial"/>
                <w:i/>
                <w:iCs/>
              </w:rPr>
            </w:pPr>
          </w:p>
        </w:tc>
        <w:tc>
          <w:tcPr>
            <w:tcW w:w="1675" w:type="dxa"/>
            <w:tcBorders>
              <w:top w:val="nil"/>
              <w:left w:val="nil"/>
              <w:bottom w:val="nil"/>
              <w:right w:val="nil"/>
            </w:tcBorders>
            <w:shd w:val="clear" w:color="auto" w:fill="auto"/>
            <w:noWrap/>
            <w:vAlign w:val="bottom"/>
          </w:tcPr>
          <w:p w:rsidR="000A1AED" w:rsidRDefault="000A1AED" w:rsidP="00302186">
            <w:pPr>
              <w:jc w:val="right"/>
              <w:rPr>
                <w:rFonts w:ascii="Arial" w:hAnsi="Arial" w:cs="Arial"/>
                <w:i/>
                <w:iCs/>
              </w:rPr>
            </w:pPr>
          </w:p>
        </w:tc>
        <w:tc>
          <w:tcPr>
            <w:tcW w:w="1675" w:type="dxa"/>
            <w:tcBorders>
              <w:top w:val="nil"/>
              <w:left w:val="nil"/>
              <w:bottom w:val="nil"/>
              <w:right w:val="nil"/>
            </w:tcBorders>
            <w:shd w:val="clear" w:color="auto" w:fill="auto"/>
            <w:noWrap/>
            <w:vAlign w:val="bottom"/>
          </w:tcPr>
          <w:p w:rsidR="000A1AED" w:rsidRDefault="000A1AED" w:rsidP="00302186">
            <w:pPr>
              <w:jc w:val="right"/>
              <w:rPr>
                <w:rFonts w:ascii="Arial" w:hAnsi="Arial" w:cs="Arial"/>
              </w:rPr>
            </w:pPr>
          </w:p>
        </w:tc>
        <w:tc>
          <w:tcPr>
            <w:tcW w:w="1676" w:type="dxa"/>
            <w:tcBorders>
              <w:top w:val="nil"/>
              <w:left w:val="nil"/>
              <w:bottom w:val="nil"/>
              <w:right w:val="nil"/>
            </w:tcBorders>
            <w:shd w:val="clear" w:color="auto" w:fill="auto"/>
            <w:noWrap/>
            <w:vAlign w:val="bottom"/>
          </w:tcPr>
          <w:p w:rsidR="000A1AED" w:rsidRDefault="000A1AED" w:rsidP="00302186">
            <w:pPr>
              <w:jc w:val="right"/>
              <w:rPr>
                <w:rFonts w:ascii="Arial" w:hAnsi="Arial" w:cs="Arial"/>
                <w:i/>
                <w:iCs/>
              </w:rPr>
            </w:pPr>
          </w:p>
        </w:tc>
        <w:tc>
          <w:tcPr>
            <w:tcW w:w="1675" w:type="dxa"/>
            <w:tcBorders>
              <w:top w:val="nil"/>
              <w:left w:val="nil"/>
              <w:bottom w:val="nil"/>
              <w:right w:val="nil"/>
            </w:tcBorders>
            <w:shd w:val="clear" w:color="auto" w:fill="auto"/>
            <w:noWrap/>
            <w:vAlign w:val="bottom"/>
          </w:tcPr>
          <w:p w:rsidR="000A1AED" w:rsidRDefault="000A1AED" w:rsidP="00302186">
            <w:pPr>
              <w:jc w:val="right"/>
              <w:rPr>
                <w:rFonts w:ascii="Arial" w:hAnsi="Arial" w:cs="Arial"/>
              </w:rPr>
            </w:pPr>
          </w:p>
        </w:tc>
        <w:tc>
          <w:tcPr>
            <w:tcW w:w="1675" w:type="dxa"/>
            <w:tcBorders>
              <w:top w:val="nil"/>
              <w:left w:val="nil"/>
              <w:bottom w:val="nil"/>
              <w:right w:val="nil"/>
            </w:tcBorders>
            <w:shd w:val="clear" w:color="auto" w:fill="auto"/>
            <w:noWrap/>
            <w:vAlign w:val="bottom"/>
          </w:tcPr>
          <w:p w:rsidR="000A1AED" w:rsidRDefault="000A1AED" w:rsidP="00302186">
            <w:pPr>
              <w:jc w:val="right"/>
              <w:rPr>
                <w:rFonts w:ascii="Arial" w:hAnsi="Arial" w:cs="Arial"/>
                <w:i/>
                <w:iCs/>
              </w:rPr>
            </w:pPr>
          </w:p>
        </w:tc>
        <w:tc>
          <w:tcPr>
            <w:tcW w:w="1676" w:type="dxa"/>
            <w:tcBorders>
              <w:top w:val="nil"/>
              <w:left w:val="nil"/>
              <w:bottom w:val="nil"/>
              <w:right w:val="nil"/>
            </w:tcBorders>
            <w:shd w:val="clear" w:color="auto" w:fill="auto"/>
            <w:noWrap/>
            <w:vAlign w:val="bottom"/>
          </w:tcPr>
          <w:p w:rsidR="000A1AED" w:rsidRDefault="000A1AED" w:rsidP="00302186">
            <w:pPr>
              <w:jc w:val="right"/>
              <w:rPr>
                <w:rFonts w:ascii="Arial" w:hAnsi="Arial" w:cs="Arial"/>
              </w:rPr>
            </w:pPr>
          </w:p>
        </w:tc>
      </w:tr>
      <w:tr w:rsidR="000A1AED" w:rsidTr="00302186">
        <w:trPr>
          <w:trHeight w:val="425"/>
        </w:trPr>
        <w:tc>
          <w:tcPr>
            <w:tcW w:w="439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i/>
                <w:iCs/>
              </w:rPr>
            </w:pP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i/>
                <w:iCs/>
              </w:rPr>
            </w:pPr>
            <w:r>
              <w:rPr>
                <w:rFonts w:ascii="Arial" w:hAnsi="Arial" w:cs="Arial"/>
                <w:i/>
                <w:iCs/>
              </w:rPr>
              <w:t>Assets 31/12/2013</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£69,505.00</w:t>
            </w: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i/>
                <w:iCs/>
              </w:rPr>
            </w:pPr>
            <w:r>
              <w:rPr>
                <w:rFonts w:ascii="Arial" w:hAnsi="Arial" w:cs="Arial"/>
                <w:i/>
                <w:iCs/>
              </w:rPr>
              <w:t>Assets 30/06/2014</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£60,217.06</w:t>
            </w:r>
          </w:p>
        </w:tc>
        <w:tc>
          <w:tcPr>
            <w:tcW w:w="1675"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i/>
                <w:iCs/>
              </w:rPr>
            </w:pPr>
            <w:r>
              <w:rPr>
                <w:rFonts w:ascii="Arial" w:hAnsi="Arial" w:cs="Arial"/>
                <w:i/>
                <w:iCs/>
              </w:rPr>
              <w:t>Assets 30/06/2015</w:t>
            </w:r>
          </w:p>
        </w:tc>
        <w:tc>
          <w:tcPr>
            <w:tcW w:w="1676" w:type="dxa"/>
            <w:tcBorders>
              <w:top w:val="nil"/>
              <w:left w:val="nil"/>
              <w:bottom w:val="nil"/>
              <w:right w:val="nil"/>
            </w:tcBorders>
            <w:shd w:val="clear" w:color="auto" w:fill="auto"/>
            <w:noWrap/>
            <w:vAlign w:val="bottom"/>
            <w:hideMark/>
          </w:tcPr>
          <w:p w:rsidR="000A1AED" w:rsidRDefault="000A1AED" w:rsidP="00302186">
            <w:pPr>
              <w:jc w:val="right"/>
              <w:rPr>
                <w:rFonts w:ascii="Arial" w:hAnsi="Arial" w:cs="Arial"/>
              </w:rPr>
            </w:pPr>
            <w:r>
              <w:rPr>
                <w:rFonts w:ascii="Arial" w:hAnsi="Arial" w:cs="Arial"/>
              </w:rPr>
              <w:t>£72,078.49</w:t>
            </w:r>
          </w:p>
        </w:tc>
      </w:tr>
    </w:tbl>
    <w:p w:rsidR="000A1AED" w:rsidRDefault="000A1AED" w:rsidP="000A1AED">
      <w:pPr>
        <w:rPr>
          <w:rFonts w:ascii="Arial" w:hAnsi="Arial" w:cs="Arial"/>
          <w:b/>
        </w:rPr>
      </w:pPr>
    </w:p>
    <w:p w:rsidR="000A1AED" w:rsidRDefault="000A1AED" w:rsidP="000A1AED">
      <w:pPr>
        <w:rPr>
          <w:b/>
          <w:sz w:val="22"/>
          <w:szCs w:val="22"/>
        </w:rPr>
        <w:sectPr w:rsidR="000A1AED" w:rsidSect="000034E4">
          <w:pgSz w:w="15840" w:h="12240" w:orient="landscape"/>
          <w:pgMar w:top="720" w:right="720" w:bottom="720" w:left="720" w:header="720" w:footer="720" w:gutter="0"/>
          <w:cols w:space="720"/>
          <w:docGrid w:linePitch="299"/>
        </w:sectPr>
      </w:pPr>
    </w:p>
    <w:p w:rsidR="000A1AED" w:rsidRDefault="000A1AED" w:rsidP="000A1AED">
      <w:pPr>
        <w:rPr>
          <w:b/>
          <w:sz w:val="22"/>
          <w:szCs w:val="22"/>
        </w:rPr>
      </w:pPr>
      <w:r>
        <w:rPr>
          <w:b/>
          <w:sz w:val="22"/>
          <w:szCs w:val="22"/>
        </w:rPr>
        <w:lastRenderedPageBreak/>
        <w:t>APPENDIX III – REPORT FROM WEBSITE EDITOR AND SOCIAL MEDIA MATTERS</w:t>
      </w:r>
    </w:p>
    <w:p w:rsidR="000A1AED" w:rsidRDefault="000A1AED" w:rsidP="000A1AED">
      <w:pPr>
        <w:rPr>
          <w:b/>
          <w:sz w:val="22"/>
          <w:szCs w:val="22"/>
        </w:rPr>
      </w:pPr>
    </w:p>
    <w:p w:rsidR="000A1AED" w:rsidRPr="004D6264" w:rsidRDefault="000A1AED" w:rsidP="000A1AED">
      <w:pPr>
        <w:rPr>
          <w:b/>
          <w:u w:val="single"/>
        </w:rPr>
      </w:pPr>
      <w:r w:rsidRPr="004D6264">
        <w:rPr>
          <w:b/>
          <w:u w:val="single"/>
        </w:rPr>
        <w:t>Web Editor’s Report</w:t>
      </w:r>
    </w:p>
    <w:p w:rsidR="000A1AED" w:rsidRPr="004D6264" w:rsidRDefault="000A1AED" w:rsidP="000A1AED">
      <w:r w:rsidRPr="004D6264">
        <w:t>The website continues to be an effective means of communicating with members and the public. It continues to host information on upcoming events, calls for papers, resources and underpins our Social Media presence.</w:t>
      </w:r>
    </w:p>
    <w:p w:rsidR="000A1AED" w:rsidRPr="004D6264" w:rsidRDefault="000A1AED" w:rsidP="000A1AED">
      <w:pPr>
        <w:pStyle w:val="Default"/>
        <w:rPr>
          <w:rFonts w:asciiTheme="minorHAnsi" w:hAnsiTheme="minorHAnsi"/>
          <w:sz w:val="22"/>
          <w:szCs w:val="22"/>
        </w:rPr>
      </w:pPr>
      <w:r w:rsidRPr="004D6264">
        <w:rPr>
          <w:rFonts w:asciiTheme="minorHAnsi" w:hAnsiTheme="minorHAnsi"/>
          <w:sz w:val="22"/>
          <w:szCs w:val="22"/>
        </w:rPr>
        <w:t>We continue to host the site with 34sp.com and have had no difficulties. At present, we pay £6.95 per month for hosting. For ease, I have been paying this personally and then applying to the treasurer for reimbursement. I last did this at the AGM in January 2015 and will supply receipts to the Treasurer again for reimbursement of £</w:t>
      </w:r>
      <w:r>
        <w:rPr>
          <w:rFonts w:asciiTheme="minorHAnsi" w:hAnsiTheme="minorHAnsi"/>
          <w:sz w:val="22"/>
          <w:szCs w:val="22"/>
        </w:rPr>
        <w:t>90</w:t>
      </w:r>
      <w:r w:rsidRPr="004D6264">
        <w:rPr>
          <w:rFonts w:asciiTheme="minorHAnsi" w:hAnsiTheme="minorHAnsi"/>
          <w:sz w:val="22"/>
          <w:szCs w:val="22"/>
        </w:rPr>
        <w:t>.</w:t>
      </w:r>
      <w:r>
        <w:rPr>
          <w:rFonts w:asciiTheme="minorHAnsi" w:hAnsiTheme="minorHAnsi"/>
          <w:sz w:val="22"/>
          <w:szCs w:val="22"/>
        </w:rPr>
        <w:t>35 (13 months)</w:t>
      </w:r>
      <w:r w:rsidRPr="004D6264">
        <w:rPr>
          <w:rFonts w:asciiTheme="minorHAnsi" w:hAnsiTheme="minorHAnsi"/>
          <w:sz w:val="22"/>
          <w:szCs w:val="22"/>
        </w:rPr>
        <w:t xml:space="preserve"> covering </w:t>
      </w:r>
      <w:r>
        <w:rPr>
          <w:rFonts w:asciiTheme="minorHAnsi" w:hAnsiTheme="minorHAnsi"/>
          <w:sz w:val="22"/>
          <w:szCs w:val="22"/>
        </w:rPr>
        <w:t>until 18 February 2016</w:t>
      </w:r>
      <w:r w:rsidRPr="004D6264">
        <w:rPr>
          <w:rFonts w:asciiTheme="minorHAnsi" w:hAnsiTheme="minorHAnsi"/>
          <w:sz w:val="22"/>
          <w:szCs w:val="22"/>
        </w:rPr>
        <w:t>.</w:t>
      </w:r>
    </w:p>
    <w:p w:rsidR="000A1AED" w:rsidRPr="004D6264" w:rsidRDefault="000A1AED" w:rsidP="000A1AED">
      <w:pPr>
        <w:pStyle w:val="Default"/>
        <w:rPr>
          <w:rFonts w:asciiTheme="minorHAnsi" w:hAnsiTheme="minorHAnsi"/>
          <w:sz w:val="22"/>
          <w:szCs w:val="22"/>
        </w:rPr>
      </w:pPr>
    </w:p>
    <w:p w:rsidR="000A1AED" w:rsidRPr="004D6264" w:rsidRDefault="000A1AED" w:rsidP="000A1AED">
      <w:r w:rsidRPr="004D6264">
        <w:t xml:space="preserve">Below </w:t>
      </w:r>
      <w:r>
        <w:t>are</w:t>
      </w:r>
      <w:r w:rsidRPr="004D6264">
        <w:t xml:space="preserve"> chart</w:t>
      </w:r>
      <w:r>
        <w:t>s</w:t>
      </w:r>
      <w:r w:rsidRPr="004D6264">
        <w:t xml:space="preserve"> detailing the traffic for 2014</w:t>
      </w:r>
      <w:r>
        <w:t>, and the start of 2015</w:t>
      </w:r>
      <w:r w:rsidRPr="004D6264">
        <w:t>:</w:t>
      </w:r>
    </w:p>
    <w:p w:rsidR="000A1AED" w:rsidRPr="004D6264" w:rsidRDefault="000A1AED" w:rsidP="000A1AED">
      <w:r w:rsidRPr="004D6264">
        <w:rPr>
          <w:noProof/>
        </w:rPr>
        <w:drawing>
          <wp:anchor distT="0" distB="0" distL="114300" distR="114300" simplePos="0" relativeHeight="251659264" behindDoc="0" locked="0" layoutInCell="1" allowOverlap="1" wp14:anchorId="785D21F3" wp14:editId="27EC65AF">
            <wp:simplePos x="0" y="0"/>
            <wp:positionH relativeFrom="margin">
              <wp:align>center</wp:align>
            </wp:positionH>
            <wp:positionV relativeFrom="paragraph">
              <wp:posOffset>77028</wp:posOffset>
            </wp:positionV>
            <wp:extent cx="3871595" cy="3060065"/>
            <wp:effectExtent l="0" t="0" r="0" b="6985"/>
            <wp:wrapThrough wrapText="bothSides">
              <wp:wrapPolygon edited="0">
                <wp:start x="0" y="0"/>
                <wp:lineTo x="0" y="21515"/>
                <wp:lineTo x="21469" y="21515"/>
                <wp:lineTo x="214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9141" t="25606" r="21201" b="18673"/>
                    <a:stretch/>
                  </pic:blipFill>
                  <pic:spPr bwMode="auto">
                    <a:xfrm>
                      <a:off x="0" y="0"/>
                      <a:ext cx="3871595" cy="3060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A1AED" w:rsidRPr="004D6264" w:rsidRDefault="000A1AED" w:rsidP="000A1AED"/>
    <w:p w:rsidR="000A1AED" w:rsidRPr="004D6264" w:rsidRDefault="000A1AED" w:rsidP="000A1AED"/>
    <w:p w:rsidR="000A1AED" w:rsidRPr="004D6264" w:rsidRDefault="000A1AED" w:rsidP="000A1AED"/>
    <w:p w:rsidR="000A1AED" w:rsidRPr="004D6264" w:rsidRDefault="000A1AED" w:rsidP="000A1AED"/>
    <w:p w:rsidR="000A1AED" w:rsidRPr="004D6264" w:rsidRDefault="000A1AED" w:rsidP="000A1AED"/>
    <w:p w:rsidR="000A1AED" w:rsidRPr="004D6264" w:rsidRDefault="000A1AED" w:rsidP="000A1AED"/>
    <w:p w:rsidR="000A1AED" w:rsidRPr="004D6264" w:rsidRDefault="000A1AED" w:rsidP="000A1AED"/>
    <w:p w:rsidR="000A1AED" w:rsidRPr="004D6264" w:rsidRDefault="000A1AED" w:rsidP="000A1AED"/>
    <w:p w:rsidR="000A1AED" w:rsidRPr="004D6264" w:rsidRDefault="000A1AED" w:rsidP="000A1AED"/>
    <w:p w:rsidR="000A1AED" w:rsidRPr="004D6264" w:rsidRDefault="000A1AED" w:rsidP="000A1AED"/>
    <w:p w:rsidR="000A1AED" w:rsidRPr="004D6264" w:rsidRDefault="000A1AED" w:rsidP="000A1AED">
      <w:r>
        <w:rPr>
          <w:noProof/>
        </w:rPr>
        <w:drawing>
          <wp:anchor distT="0" distB="0" distL="114300" distR="114300" simplePos="0" relativeHeight="251660288" behindDoc="0" locked="0" layoutInCell="1" allowOverlap="1" wp14:anchorId="3305AE89" wp14:editId="7C058DF1">
            <wp:simplePos x="0" y="0"/>
            <wp:positionH relativeFrom="margin">
              <wp:align>center</wp:align>
            </wp:positionH>
            <wp:positionV relativeFrom="paragraph">
              <wp:posOffset>55024</wp:posOffset>
            </wp:positionV>
            <wp:extent cx="3931920" cy="2981960"/>
            <wp:effectExtent l="0" t="0" r="0" b="8890"/>
            <wp:wrapThrough wrapText="bothSides">
              <wp:wrapPolygon edited="0">
                <wp:start x="0" y="0"/>
                <wp:lineTo x="0" y="21526"/>
                <wp:lineTo x="21453" y="21526"/>
                <wp:lineTo x="214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8344" t="25172" r="20811" b="19827"/>
                    <a:stretch/>
                  </pic:blipFill>
                  <pic:spPr bwMode="auto">
                    <a:xfrm>
                      <a:off x="0" y="0"/>
                      <a:ext cx="3931920" cy="2981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1AED" w:rsidRDefault="000A1AED" w:rsidP="000A1AED"/>
    <w:p w:rsidR="000A1AED" w:rsidRDefault="000A1AED" w:rsidP="000A1AED">
      <w:pPr>
        <w:jc w:val="center"/>
      </w:pPr>
    </w:p>
    <w:p w:rsidR="000A1AED" w:rsidRDefault="000A1AED" w:rsidP="000A1AED"/>
    <w:p w:rsidR="000A1AED" w:rsidRDefault="000A1AED" w:rsidP="000A1AED"/>
    <w:p w:rsidR="000A1AED" w:rsidRDefault="000A1AED" w:rsidP="000A1AED"/>
    <w:p w:rsidR="000A1AED" w:rsidRDefault="000A1AED" w:rsidP="000A1AED"/>
    <w:p w:rsidR="000A1AED" w:rsidRDefault="000A1AED" w:rsidP="000A1AED"/>
    <w:p w:rsidR="000A1AED" w:rsidRDefault="000A1AED" w:rsidP="000A1AED"/>
    <w:p w:rsidR="000A1AED" w:rsidRDefault="000A1AED" w:rsidP="000A1AED"/>
    <w:p w:rsidR="000A1AED" w:rsidRDefault="000A1AED" w:rsidP="000A1AED"/>
    <w:p w:rsidR="000A1AED" w:rsidRDefault="000A1AED" w:rsidP="000A1AED"/>
    <w:p w:rsidR="000A1AED" w:rsidRDefault="000A1AED" w:rsidP="000A1AED"/>
    <w:p w:rsidR="000A1AED" w:rsidRDefault="000A1AED" w:rsidP="000A1AED">
      <w:r>
        <w:t>You will note that there has been a marked increase in the traffic to the site and in the number of visitors. This is due to a more active maintenance of the site, and also largely (upwards of 60%) as a result to our hosting of the French History Network Blog (launched October 2014). This is not a problem with our current level of hosting, and the increased traffic presents no significant problems.</w:t>
      </w:r>
      <w:r w:rsidRPr="00192907">
        <w:t xml:space="preserve"> </w:t>
      </w:r>
    </w:p>
    <w:p w:rsidR="000A1AED" w:rsidRDefault="000A1AED" w:rsidP="000A1AED">
      <w:r>
        <w:t>Pre-emptively</w:t>
      </w:r>
      <w:r w:rsidRPr="004D6264">
        <w:t>, I have been moving content onto YouTube</w:t>
      </w:r>
      <w:r>
        <w:t xml:space="preserve"> to ensure that we do not handle too much bandwidth as we expand as a purely precautionary measure. This has been useful, though we can continue to promote, and it will be useful to build more content for this, by continuing to film and record lectures. 174 people have watched the plenaries from our 2014 conference.</w:t>
      </w:r>
    </w:p>
    <w:p w:rsidR="000A1AED" w:rsidRDefault="000A1AED" w:rsidP="000A1AED">
      <w:r>
        <w:t xml:space="preserve">The blog continues to be a very successful addition to the site and the excellent work of the editors Ludivine Broch (Westminster) and Alison Carrol (Brunel) should be noted. I would also like to thank Ellen </w:t>
      </w:r>
      <w:r>
        <w:lastRenderedPageBreak/>
        <w:t>Crabtree for her continuing efforts, which have produced fantastic interviews of real interest and entertainment. I would encourage committee members to keep up to date with the blog and recommend it to others. The blog has also allowed us to get good value out of our contribution to the IHR Modern French History Seminar, and reports on all of the papers given there appear on the blog. More often than not, this includes an audio recording (on express permission of the speaker). This has allowed us to make sure that the London base of the seminar has become more open and accessible to members and interested parties from further afield.</w:t>
      </w:r>
    </w:p>
    <w:p w:rsidR="000A1AED" w:rsidRPr="004D6264" w:rsidRDefault="000A1AED" w:rsidP="000A1AED">
      <w:r w:rsidRPr="004D6264">
        <w:t>As ever, the website continues to flourish as a result of the contributions of members. Thank you for all material supplied and please continue to send in items of interest and relevance. Likewise, I am sure both myself and the Social Media Officer would encourage everyone to pass on photos from events they have attended, as good quality photos of events are often the most challenging thing to come by.</w:t>
      </w:r>
    </w:p>
    <w:p w:rsidR="000A1AED" w:rsidRDefault="000A1AED" w:rsidP="000A1AED">
      <w:r>
        <w:t>Other stats for those interested:</w:t>
      </w:r>
    </w:p>
    <w:p w:rsidR="000A1AED" w:rsidRDefault="000A1AED" w:rsidP="000A1AED">
      <w:pPr>
        <w:tabs>
          <w:tab w:val="left" w:pos="5220"/>
        </w:tabs>
        <w:rPr>
          <w:b/>
        </w:rPr>
      </w:pPr>
      <w:r w:rsidRPr="006765D6">
        <w:rPr>
          <w:b/>
        </w:rPr>
        <w:t xml:space="preserve">OS breakdown of hit traffic, March 2015: </w:t>
      </w:r>
      <w:r>
        <w:rPr>
          <w:b/>
        </w:rPr>
        <w:t xml:space="preserve"> </w:t>
      </w:r>
      <w:r>
        <w:rPr>
          <w:b/>
        </w:rPr>
        <w:tab/>
      </w:r>
      <w:r w:rsidRPr="006765D6">
        <w:rPr>
          <w:b/>
        </w:rPr>
        <w:t>Browser breakdown of hit traffic, March 2015:</w:t>
      </w:r>
    </w:p>
    <w:tbl>
      <w:tblPr>
        <w:tblStyle w:val="TableGrid"/>
        <w:tblW w:w="0" w:type="auto"/>
        <w:tblLook w:val="04A0" w:firstRow="1" w:lastRow="0" w:firstColumn="1" w:lastColumn="0" w:noHBand="0" w:noVBand="1"/>
      </w:tblPr>
      <w:tblGrid>
        <w:gridCol w:w="3073"/>
        <w:gridCol w:w="938"/>
        <w:gridCol w:w="716"/>
      </w:tblGrid>
      <w:tr w:rsidR="000A1AED" w:rsidTr="00302186">
        <w:tc>
          <w:tcPr>
            <w:tcW w:w="3073" w:type="dxa"/>
          </w:tcPr>
          <w:p w:rsidR="000A1AED" w:rsidRPr="006765D6" w:rsidRDefault="000A1AED" w:rsidP="00302186">
            <w:pPr>
              <w:rPr>
                <w:i/>
              </w:rPr>
            </w:pPr>
            <w:r w:rsidRPr="006765D6">
              <w:rPr>
                <w:i/>
              </w:rPr>
              <w:t>OS</w:t>
            </w:r>
          </w:p>
        </w:tc>
        <w:tc>
          <w:tcPr>
            <w:tcW w:w="938" w:type="dxa"/>
          </w:tcPr>
          <w:p w:rsidR="000A1AED" w:rsidRDefault="000A1AED" w:rsidP="00302186">
            <w:r>
              <w:t>Hits</w:t>
            </w:r>
          </w:p>
        </w:tc>
        <w:tc>
          <w:tcPr>
            <w:tcW w:w="716" w:type="dxa"/>
          </w:tcPr>
          <w:p w:rsidR="000A1AED" w:rsidRDefault="000A1AED" w:rsidP="00302186">
            <w:r>
              <w:t>%</w:t>
            </w:r>
          </w:p>
        </w:tc>
      </w:tr>
      <w:tr w:rsidR="000A1AED" w:rsidTr="00302186">
        <w:tc>
          <w:tcPr>
            <w:tcW w:w="3073" w:type="dxa"/>
          </w:tcPr>
          <w:p w:rsidR="000A1AED" w:rsidRDefault="000A1AED" w:rsidP="00302186">
            <w:r>
              <w:t>Windows</w:t>
            </w:r>
          </w:p>
        </w:tc>
        <w:tc>
          <w:tcPr>
            <w:tcW w:w="938" w:type="dxa"/>
          </w:tcPr>
          <w:p w:rsidR="000A1AED" w:rsidRDefault="000A1AED" w:rsidP="00302186">
            <w:r>
              <w:t>18,915</w:t>
            </w:r>
          </w:p>
        </w:tc>
        <w:tc>
          <w:tcPr>
            <w:tcW w:w="716" w:type="dxa"/>
          </w:tcPr>
          <w:p w:rsidR="000A1AED" w:rsidRDefault="000A1AED" w:rsidP="00302186">
            <w:r>
              <w:t>56.7</w:t>
            </w:r>
          </w:p>
        </w:tc>
      </w:tr>
      <w:tr w:rsidR="000A1AED" w:rsidTr="00302186">
        <w:tc>
          <w:tcPr>
            <w:tcW w:w="3073" w:type="dxa"/>
          </w:tcPr>
          <w:p w:rsidR="000A1AED" w:rsidRDefault="000A1AED" w:rsidP="00302186">
            <w:r>
              <w:t>Macintosh</w:t>
            </w:r>
          </w:p>
        </w:tc>
        <w:tc>
          <w:tcPr>
            <w:tcW w:w="938" w:type="dxa"/>
          </w:tcPr>
          <w:p w:rsidR="000A1AED" w:rsidRDefault="000A1AED" w:rsidP="00302186">
            <w:r>
              <w:t>11,002</w:t>
            </w:r>
          </w:p>
        </w:tc>
        <w:tc>
          <w:tcPr>
            <w:tcW w:w="716" w:type="dxa"/>
          </w:tcPr>
          <w:p w:rsidR="000A1AED" w:rsidRDefault="000A1AED" w:rsidP="00302186">
            <w:r>
              <w:t>33</w:t>
            </w:r>
          </w:p>
        </w:tc>
      </w:tr>
      <w:tr w:rsidR="000A1AED" w:rsidTr="00302186">
        <w:tc>
          <w:tcPr>
            <w:tcW w:w="3073" w:type="dxa"/>
          </w:tcPr>
          <w:p w:rsidR="000A1AED" w:rsidRDefault="000A1AED" w:rsidP="00302186">
            <w:r>
              <w:t>Linux</w:t>
            </w:r>
          </w:p>
        </w:tc>
        <w:tc>
          <w:tcPr>
            <w:tcW w:w="938" w:type="dxa"/>
          </w:tcPr>
          <w:p w:rsidR="000A1AED" w:rsidRDefault="000A1AED" w:rsidP="00302186">
            <w:r>
              <w:t>1,975</w:t>
            </w:r>
          </w:p>
        </w:tc>
        <w:tc>
          <w:tcPr>
            <w:tcW w:w="716" w:type="dxa"/>
          </w:tcPr>
          <w:p w:rsidR="000A1AED" w:rsidRDefault="000A1AED" w:rsidP="00302186">
            <w:r>
              <w:t>5.9</w:t>
            </w:r>
          </w:p>
        </w:tc>
      </w:tr>
      <w:tr w:rsidR="000A1AED" w:rsidTr="00302186">
        <w:tc>
          <w:tcPr>
            <w:tcW w:w="3073" w:type="dxa"/>
            <w:hideMark/>
          </w:tcPr>
          <w:p w:rsidR="000A1AED" w:rsidRDefault="000A1AED" w:rsidP="00302186">
            <w:r>
              <w:t>Others (inc. Java, BB, Symbian)</w:t>
            </w:r>
          </w:p>
        </w:tc>
        <w:tc>
          <w:tcPr>
            <w:tcW w:w="938" w:type="dxa"/>
            <w:hideMark/>
          </w:tcPr>
          <w:p w:rsidR="000A1AED" w:rsidRDefault="000A1AED" w:rsidP="00302186">
            <w:r>
              <w:t>1,419</w:t>
            </w:r>
          </w:p>
        </w:tc>
        <w:tc>
          <w:tcPr>
            <w:tcW w:w="716" w:type="dxa"/>
            <w:hideMark/>
          </w:tcPr>
          <w:p w:rsidR="000A1AED" w:rsidRDefault="000A1AED" w:rsidP="00302186">
            <w:r>
              <w:t>4.2</w:t>
            </w:r>
          </w:p>
        </w:tc>
      </w:tr>
      <w:tr w:rsidR="000A1AED" w:rsidTr="00302186">
        <w:tc>
          <w:tcPr>
            <w:tcW w:w="3073" w:type="dxa"/>
            <w:hideMark/>
          </w:tcPr>
          <w:p w:rsidR="000A1AED" w:rsidRDefault="000A1AED" w:rsidP="00302186">
            <w:r>
              <w:t>BSD</w:t>
            </w:r>
          </w:p>
        </w:tc>
        <w:tc>
          <w:tcPr>
            <w:tcW w:w="938" w:type="dxa"/>
            <w:hideMark/>
          </w:tcPr>
          <w:p w:rsidR="000A1AED" w:rsidRDefault="000A1AED" w:rsidP="00302186">
            <w:r>
              <w:t>14</w:t>
            </w:r>
          </w:p>
        </w:tc>
        <w:tc>
          <w:tcPr>
            <w:tcW w:w="716" w:type="dxa"/>
            <w:hideMark/>
          </w:tcPr>
          <w:p w:rsidR="000A1AED" w:rsidRDefault="000A1AED" w:rsidP="00302186">
            <w:r>
              <w:t>0</w:t>
            </w:r>
          </w:p>
        </w:tc>
      </w:tr>
    </w:tbl>
    <w:tbl>
      <w:tblPr>
        <w:tblStyle w:val="TableGrid"/>
        <w:tblpPr w:leftFromText="180" w:rightFromText="180" w:vertAnchor="text" w:horzAnchor="margin" w:tblpXSpec="right" w:tblpY="-1679"/>
        <w:tblW w:w="0" w:type="auto"/>
        <w:tblLook w:val="04A0" w:firstRow="1" w:lastRow="0" w:firstColumn="1" w:lastColumn="0" w:noHBand="0" w:noVBand="1"/>
      </w:tblPr>
      <w:tblGrid>
        <w:gridCol w:w="3119"/>
        <w:gridCol w:w="746"/>
        <w:gridCol w:w="630"/>
      </w:tblGrid>
      <w:tr w:rsidR="000A1AED" w:rsidTr="00302186">
        <w:trPr>
          <w:trHeight w:val="282"/>
        </w:trPr>
        <w:tc>
          <w:tcPr>
            <w:tcW w:w="3119" w:type="dxa"/>
          </w:tcPr>
          <w:p w:rsidR="000A1AED" w:rsidRPr="006765D6" w:rsidRDefault="000A1AED" w:rsidP="00302186">
            <w:pPr>
              <w:rPr>
                <w:i/>
              </w:rPr>
            </w:pPr>
            <w:r w:rsidRPr="006765D6">
              <w:rPr>
                <w:i/>
              </w:rPr>
              <w:t>Browser</w:t>
            </w:r>
          </w:p>
        </w:tc>
        <w:tc>
          <w:tcPr>
            <w:tcW w:w="746" w:type="dxa"/>
          </w:tcPr>
          <w:p w:rsidR="000A1AED" w:rsidRDefault="000A1AED" w:rsidP="00302186">
            <w:r>
              <w:t>Hits</w:t>
            </w:r>
          </w:p>
        </w:tc>
        <w:tc>
          <w:tcPr>
            <w:tcW w:w="630" w:type="dxa"/>
          </w:tcPr>
          <w:p w:rsidR="000A1AED" w:rsidRDefault="000A1AED" w:rsidP="00302186">
            <w:r>
              <w:t>%</w:t>
            </w:r>
          </w:p>
        </w:tc>
      </w:tr>
      <w:tr w:rsidR="000A1AED" w:rsidTr="00302186">
        <w:trPr>
          <w:trHeight w:val="282"/>
        </w:trPr>
        <w:tc>
          <w:tcPr>
            <w:tcW w:w="3119" w:type="dxa"/>
          </w:tcPr>
          <w:p w:rsidR="000A1AED" w:rsidRDefault="000A1AED" w:rsidP="00302186">
            <w:r>
              <w:t>Chrome</w:t>
            </w:r>
          </w:p>
        </w:tc>
        <w:tc>
          <w:tcPr>
            <w:tcW w:w="746" w:type="dxa"/>
          </w:tcPr>
          <w:p w:rsidR="000A1AED" w:rsidRDefault="000A1AED" w:rsidP="00302186">
            <w:r>
              <w:t>9,057</w:t>
            </w:r>
          </w:p>
        </w:tc>
        <w:tc>
          <w:tcPr>
            <w:tcW w:w="630" w:type="dxa"/>
          </w:tcPr>
          <w:p w:rsidR="000A1AED" w:rsidRDefault="000A1AED" w:rsidP="00302186">
            <w:r>
              <w:t>27.1</w:t>
            </w:r>
          </w:p>
        </w:tc>
      </w:tr>
      <w:tr w:rsidR="000A1AED" w:rsidTr="00302186">
        <w:trPr>
          <w:trHeight w:val="294"/>
        </w:trPr>
        <w:tc>
          <w:tcPr>
            <w:tcW w:w="3119" w:type="dxa"/>
          </w:tcPr>
          <w:p w:rsidR="000A1AED" w:rsidRDefault="000A1AED" w:rsidP="00302186">
            <w:r>
              <w:t>IE</w:t>
            </w:r>
          </w:p>
        </w:tc>
        <w:tc>
          <w:tcPr>
            <w:tcW w:w="746" w:type="dxa"/>
          </w:tcPr>
          <w:p w:rsidR="000A1AED" w:rsidRDefault="000A1AED" w:rsidP="00302186">
            <w:r>
              <w:t>6,474</w:t>
            </w:r>
          </w:p>
        </w:tc>
        <w:tc>
          <w:tcPr>
            <w:tcW w:w="630" w:type="dxa"/>
          </w:tcPr>
          <w:p w:rsidR="000A1AED" w:rsidRDefault="000A1AED" w:rsidP="00302186">
            <w:r>
              <w:t>19.4</w:t>
            </w:r>
          </w:p>
        </w:tc>
      </w:tr>
      <w:tr w:rsidR="000A1AED" w:rsidTr="00302186">
        <w:trPr>
          <w:trHeight w:val="282"/>
        </w:trPr>
        <w:tc>
          <w:tcPr>
            <w:tcW w:w="3119" w:type="dxa"/>
          </w:tcPr>
          <w:p w:rsidR="000A1AED" w:rsidRDefault="000A1AED" w:rsidP="00302186">
            <w:r>
              <w:t>Safari</w:t>
            </w:r>
          </w:p>
        </w:tc>
        <w:tc>
          <w:tcPr>
            <w:tcW w:w="746" w:type="dxa"/>
          </w:tcPr>
          <w:p w:rsidR="000A1AED" w:rsidRDefault="000A1AED" w:rsidP="00302186">
            <w:r>
              <w:t>6,285</w:t>
            </w:r>
          </w:p>
        </w:tc>
        <w:tc>
          <w:tcPr>
            <w:tcW w:w="630" w:type="dxa"/>
          </w:tcPr>
          <w:p w:rsidR="000A1AED" w:rsidRDefault="000A1AED" w:rsidP="00302186">
            <w:r>
              <w:t>18.8</w:t>
            </w:r>
          </w:p>
        </w:tc>
      </w:tr>
      <w:tr w:rsidR="000A1AED" w:rsidTr="00302186">
        <w:trPr>
          <w:trHeight w:val="282"/>
        </w:trPr>
        <w:tc>
          <w:tcPr>
            <w:tcW w:w="3119" w:type="dxa"/>
          </w:tcPr>
          <w:p w:rsidR="000A1AED" w:rsidRDefault="000A1AED" w:rsidP="00302186">
            <w:r>
              <w:t>Firefox</w:t>
            </w:r>
          </w:p>
        </w:tc>
        <w:tc>
          <w:tcPr>
            <w:tcW w:w="746" w:type="dxa"/>
          </w:tcPr>
          <w:p w:rsidR="000A1AED" w:rsidRDefault="000A1AED" w:rsidP="00302186">
            <w:r>
              <w:t>6,023</w:t>
            </w:r>
          </w:p>
        </w:tc>
        <w:tc>
          <w:tcPr>
            <w:tcW w:w="630" w:type="dxa"/>
          </w:tcPr>
          <w:p w:rsidR="000A1AED" w:rsidRDefault="000A1AED" w:rsidP="00302186">
            <w:r>
              <w:t>18</w:t>
            </w:r>
          </w:p>
        </w:tc>
      </w:tr>
      <w:tr w:rsidR="000A1AED" w:rsidTr="00302186">
        <w:trPr>
          <w:trHeight w:val="282"/>
        </w:trPr>
        <w:tc>
          <w:tcPr>
            <w:tcW w:w="3119" w:type="dxa"/>
          </w:tcPr>
          <w:p w:rsidR="000A1AED" w:rsidRDefault="000A1AED" w:rsidP="00302186">
            <w:r>
              <w:t>Others (inc. proprietary mobile)</w:t>
            </w:r>
          </w:p>
        </w:tc>
        <w:tc>
          <w:tcPr>
            <w:tcW w:w="746" w:type="dxa"/>
          </w:tcPr>
          <w:p w:rsidR="000A1AED" w:rsidRDefault="000A1AED" w:rsidP="00302186">
            <w:r>
              <w:t>5,112</w:t>
            </w:r>
          </w:p>
        </w:tc>
        <w:tc>
          <w:tcPr>
            <w:tcW w:w="630" w:type="dxa"/>
          </w:tcPr>
          <w:p w:rsidR="000A1AED" w:rsidRDefault="000A1AED" w:rsidP="00302186">
            <w:r>
              <w:t>15.3</w:t>
            </w:r>
          </w:p>
        </w:tc>
      </w:tr>
      <w:tr w:rsidR="000A1AED" w:rsidTr="00302186">
        <w:trPr>
          <w:trHeight w:val="294"/>
        </w:trPr>
        <w:tc>
          <w:tcPr>
            <w:tcW w:w="3119" w:type="dxa"/>
          </w:tcPr>
          <w:p w:rsidR="000A1AED" w:rsidRDefault="000A1AED" w:rsidP="00302186">
            <w:r>
              <w:t>Opera</w:t>
            </w:r>
          </w:p>
        </w:tc>
        <w:tc>
          <w:tcPr>
            <w:tcW w:w="746" w:type="dxa"/>
          </w:tcPr>
          <w:p w:rsidR="000A1AED" w:rsidRDefault="000A1AED" w:rsidP="00302186">
            <w:r>
              <w:t>222</w:t>
            </w:r>
          </w:p>
        </w:tc>
        <w:tc>
          <w:tcPr>
            <w:tcW w:w="630" w:type="dxa"/>
          </w:tcPr>
          <w:p w:rsidR="000A1AED" w:rsidRDefault="000A1AED" w:rsidP="00302186">
            <w:r>
              <w:t>0.6</w:t>
            </w:r>
          </w:p>
        </w:tc>
      </w:tr>
      <w:tr w:rsidR="000A1AED" w:rsidTr="00302186">
        <w:trPr>
          <w:trHeight w:val="282"/>
        </w:trPr>
        <w:tc>
          <w:tcPr>
            <w:tcW w:w="3119" w:type="dxa"/>
          </w:tcPr>
          <w:p w:rsidR="000A1AED" w:rsidRDefault="000A1AED" w:rsidP="00302186">
            <w:r>
              <w:t>Netscape</w:t>
            </w:r>
          </w:p>
        </w:tc>
        <w:tc>
          <w:tcPr>
            <w:tcW w:w="746" w:type="dxa"/>
          </w:tcPr>
          <w:p w:rsidR="000A1AED" w:rsidRDefault="000A1AED" w:rsidP="00302186">
            <w:r>
              <w:t>152</w:t>
            </w:r>
          </w:p>
        </w:tc>
        <w:tc>
          <w:tcPr>
            <w:tcW w:w="630" w:type="dxa"/>
          </w:tcPr>
          <w:p w:rsidR="000A1AED" w:rsidRDefault="000A1AED" w:rsidP="00302186">
            <w:r>
              <w:t>0.4</w:t>
            </w:r>
          </w:p>
        </w:tc>
      </w:tr>
    </w:tbl>
    <w:p w:rsidR="000A1AED" w:rsidRDefault="000A1AED" w:rsidP="000A1AED"/>
    <w:p w:rsidR="000A1AED" w:rsidRDefault="000A1AED" w:rsidP="000A1AED"/>
    <w:p w:rsidR="000A1AED" w:rsidRDefault="000A1AED" w:rsidP="000A1AED"/>
    <w:p w:rsidR="000A1AED" w:rsidRPr="004D6264" w:rsidRDefault="000A1AED" w:rsidP="000A1AED">
      <w:r w:rsidRPr="004D6264">
        <w:t>I will soon be transferring these duties to Will Pooley (Bristol), and will continue to work with him to ensure a smooth transfer.</w:t>
      </w:r>
    </w:p>
    <w:p w:rsidR="000A1AED" w:rsidRPr="004D6264" w:rsidRDefault="000A1AED" w:rsidP="000A1AED"/>
    <w:p w:rsidR="000A1AED" w:rsidRPr="004D6264" w:rsidRDefault="000A1AED" w:rsidP="000A1AED">
      <w:pPr>
        <w:jc w:val="right"/>
      </w:pPr>
      <w:r w:rsidRPr="004D6264">
        <w:t>Andrew W M Smith, 12 June 2015</w:t>
      </w:r>
    </w:p>
    <w:p w:rsidR="000A1AED" w:rsidRDefault="000A1AED" w:rsidP="000A1AED">
      <w:pPr>
        <w:rPr>
          <w:b/>
          <w:sz w:val="22"/>
          <w:szCs w:val="22"/>
        </w:rPr>
      </w:pPr>
      <w:r>
        <w:rPr>
          <w:b/>
          <w:sz w:val="22"/>
          <w:szCs w:val="22"/>
        </w:rPr>
        <w:br w:type="page"/>
      </w:r>
    </w:p>
    <w:p w:rsidR="000A1AED" w:rsidRDefault="000A1AED" w:rsidP="000A1AED">
      <w:pPr>
        <w:jc w:val="center"/>
        <w:rPr>
          <w:b/>
          <w:sz w:val="22"/>
          <w:szCs w:val="22"/>
        </w:rPr>
      </w:pPr>
      <w:r>
        <w:rPr>
          <w:b/>
          <w:sz w:val="22"/>
          <w:szCs w:val="22"/>
        </w:rPr>
        <w:lastRenderedPageBreak/>
        <w:t>APPENDIX IV – MEMBERSHIP SECRETARY</w:t>
      </w:r>
    </w:p>
    <w:p w:rsidR="000A1AED" w:rsidRDefault="000A1AED" w:rsidP="000A1AED">
      <w:pPr>
        <w:rPr>
          <w:b/>
          <w:sz w:val="22"/>
          <w:szCs w:val="22"/>
        </w:rPr>
      </w:pPr>
    </w:p>
    <w:p w:rsidR="000A1AED" w:rsidRDefault="000A1AED" w:rsidP="000A1AED">
      <w:pPr>
        <w:rPr>
          <w:b/>
        </w:rPr>
      </w:pPr>
    </w:p>
    <w:p w:rsidR="000A1AED" w:rsidRDefault="000A1AED" w:rsidP="000A1AED">
      <w:pPr>
        <w:rPr>
          <w:b/>
        </w:rPr>
      </w:pPr>
      <w:r w:rsidRPr="000A4ECB">
        <w:rPr>
          <w:b/>
        </w:rPr>
        <w:t>SSFH Membership Secretary Report July 2015</w:t>
      </w:r>
    </w:p>
    <w:p w:rsidR="000A1AED" w:rsidRDefault="000A1AED" w:rsidP="000A1AED">
      <w:pPr>
        <w:rPr>
          <w:b/>
        </w:rPr>
      </w:pPr>
    </w:p>
    <w:p w:rsidR="000A1AED" w:rsidRDefault="000A1AED" w:rsidP="000A1AED">
      <w:r>
        <w:t>At the last meeting I reported that we had 192 members. This, it turns out, was an over-optimistic misreading of the data on my part. We have almost 200 people on our email list but, of these, only 137 are currently ‘active’ (i.e. paid up) Society members according to the most recent OUP lists. This 137 is nonetheless a considerable improvement on the 2013 low point of 92 members. We have also received 24 membership applications since the start of 2015. The vast majority of these have been from PG students, which is an encouraging sign.</w:t>
      </w:r>
    </w:p>
    <w:p w:rsidR="000A1AED" w:rsidRDefault="000A1AED" w:rsidP="000A1AED"/>
    <w:p w:rsidR="000A1AED" w:rsidRDefault="000A1AED" w:rsidP="000A1AED">
      <w:r>
        <w:t>I would be inclined to leave the email list as it is rather than prune it down to only active members as I think it is helpful to circulate news about the Society to as many people as possible. These emails may prompt people to re-join, especially as they will need to be current members if they want to apply for any of our grants or bursaries. But I would be interested to hear thoughts from the rest of the committee on this.</w:t>
      </w:r>
    </w:p>
    <w:p w:rsidR="000A1AED" w:rsidRDefault="000A1AED" w:rsidP="000A1AED"/>
    <w:p w:rsidR="000A1AED" w:rsidRPr="000A4ECB" w:rsidRDefault="000A1AED" w:rsidP="000A1AED">
      <w:r>
        <w:t xml:space="preserve">Claire Eldridge </w:t>
      </w:r>
    </w:p>
    <w:p w:rsidR="000A1AED" w:rsidRDefault="000A1AED" w:rsidP="000A1AED">
      <w:pPr>
        <w:rPr>
          <w:b/>
          <w:sz w:val="22"/>
          <w:szCs w:val="22"/>
        </w:rPr>
      </w:pPr>
      <w:r>
        <w:rPr>
          <w:b/>
          <w:sz w:val="22"/>
          <w:szCs w:val="22"/>
        </w:rPr>
        <w:br w:type="page"/>
      </w:r>
    </w:p>
    <w:p w:rsidR="000A1AED" w:rsidRDefault="000A1AED" w:rsidP="000A1AED">
      <w:pPr>
        <w:rPr>
          <w:b/>
          <w:sz w:val="22"/>
          <w:szCs w:val="22"/>
        </w:rPr>
      </w:pPr>
      <w:r>
        <w:rPr>
          <w:b/>
          <w:sz w:val="22"/>
          <w:szCs w:val="22"/>
        </w:rPr>
        <w:lastRenderedPageBreak/>
        <w:t>APPENDIX V – REPORT FROM THE CONFERENCE OFFICER</w:t>
      </w:r>
    </w:p>
    <w:p w:rsidR="000A1AED" w:rsidRDefault="000A1AED" w:rsidP="000A1AED">
      <w:pPr>
        <w:rPr>
          <w:b/>
          <w:sz w:val="22"/>
          <w:szCs w:val="22"/>
        </w:rPr>
      </w:pPr>
    </w:p>
    <w:p w:rsidR="000A1AED" w:rsidRPr="002729FC" w:rsidRDefault="000A1AED" w:rsidP="000A1AED">
      <w:pPr>
        <w:jc w:val="both"/>
        <w:rPr>
          <w:b/>
        </w:rPr>
      </w:pPr>
      <w:r w:rsidRPr="002729FC">
        <w:rPr>
          <w:b/>
        </w:rPr>
        <w:t>Conference Officer’s report for June committee meeting</w:t>
      </w:r>
    </w:p>
    <w:p w:rsidR="000A1AED" w:rsidRPr="002729FC" w:rsidRDefault="000A1AED" w:rsidP="000A1AED">
      <w:pPr>
        <w:jc w:val="both"/>
        <w:rPr>
          <w:b/>
        </w:rPr>
      </w:pPr>
      <w:r w:rsidRPr="002729FC">
        <w:rPr>
          <w:b/>
        </w:rPr>
        <w:t>Prepared by Joanna Warson</w:t>
      </w:r>
      <w:r>
        <w:rPr>
          <w:b/>
        </w:rPr>
        <w:t>, 10 June 2015</w:t>
      </w:r>
    </w:p>
    <w:p w:rsidR="000A1AED" w:rsidRDefault="000A1AED" w:rsidP="000A1AED">
      <w:pPr>
        <w:jc w:val="both"/>
        <w:rPr>
          <w:u w:val="single"/>
        </w:rPr>
      </w:pPr>
    </w:p>
    <w:p w:rsidR="000A1AED" w:rsidRDefault="000A1AED" w:rsidP="000A1AED">
      <w:pPr>
        <w:jc w:val="both"/>
        <w:rPr>
          <w:u w:val="single"/>
        </w:rPr>
      </w:pPr>
      <w:r>
        <w:rPr>
          <w:u w:val="single"/>
        </w:rPr>
        <w:t>2015 conference update</w:t>
      </w:r>
    </w:p>
    <w:p w:rsidR="000A1AED" w:rsidRDefault="000A1AED" w:rsidP="000A1AED">
      <w:pPr>
        <w:jc w:val="both"/>
      </w:pPr>
      <w:r>
        <w:t xml:space="preserve">Guy, Sarah, Stephen and Sven have done an excellent job preparing for the 2015 SSFH conference in St. Andrews. </w:t>
      </w:r>
    </w:p>
    <w:p w:rsidR="000A1AED" w:rsidRDefault="000A1AED" w:rsidP="000A1AED">
      <w:pPr>
        <w:jc w:val="both"/>
      </w:pPr>
    </w:p>
    <w:p w:rsidR="000A1AED" w:rsidRDefault="000A1AED" w:rsidP="000A1AED">
      <w:pPr>
        <w:jc w:val="both"/>
      </w:pPr>
      <w:r>
        <w:t>Final attendance figures are still to be confirmed at time of writing report (10 June 2015), but c.95-110 delegates (majority staying for whole conference, with a few attending for 24 hours only). Approx. division of full rate to PG = 70:30</w:t>
      </w:r>
    </w:p>
    <w:p w:rsidR="000A1AED" w:rsidRDefault="000A1AED" w:rsidP="000A1AED">
      <w:pPr>
        <w:jc w:val="both"/>
      </w:pPr>
    </w:p>
    <w:p w:rsidR="000A1AED" w:rsidRDefault="000A1AED" w:rsidP="000A1AED">
      <w:pPr>
        <w:jc w:val="both"/>
      </w:pPr>
      <w:r>
        <w:t xml:space="preserve">I reviewed a budgetary breakdown for the 2015 SSFH conference in March. Financial arrangements for conference appear to be in good order, with substantial funding secured from St. Andrews School of History (£2962) + Institut Français (£500). Subsidy of £700 from SSFH requested by conference organisers + approved by the Committee (via email). </w:t>
      </w:r>
    </w:p>
    <w:p w:rsidR="000A1AED" w:rsidRPr="00E208F6" w:rsidRDefault="000A1AED" w:rsidP="000A1AED">
      <w:pPr>
        <w:jc w:val="both"/>
      </w:pPr>
    </w:p>
    <w:p w:rsidR="000A1AED" w:rsidRPr="002729FC" w:rsidRDefault="000A1AED" w:rsidP="000A1AED">
      <w:pPr>
        <w:jc w:val="both"/>
        <w:rPr>
          <w:u w:val="single"/>
        </w:rPr>
      </w:pPr>
      <w:r w:rsidRPr="002729FC">
        <w:rPr>
          <w:u w:val="single"/>
        </w:rPr>
        <w:t>2016 conference update</w:t>
      </w:r>
    </w:p>
    <w:p w:rsidR="000A1AED" w:rsidRDefault="000A1AED" w:rsidP="000A1AED">
      <w:pPr>
        <w:jc w:val="both"/>
      </w:pPr>
      <w:r>
        <w:t>University of Chichester, 3-5 July</w:t>
      </w:r>
    </w:p>
    <w:p w:rsidR="000A1AED" w:rsidRDefault="000A1AED" w:rsidP="000A1AED">
      <w:pPr>
        <w:jc w:val="both"/>
      </w:pPr>
      <w:r>
        <w:t>Organisers – Prof. Hugo Frey (main contact), Dr. Mark Bryant + team</w:t>
      </w:r>
    </w:p>
    <w:p w:rsidR="000A1AED" w:rsidRDefault="000A1AED" w:rsidP="000A1AED">
      <w:pPr>
        <w:jc w:val="both"/>
      </w:pPr>
      <w:r>
        <w:t xml:space="preserve">Theme – High and low culture </w:t>
      </w:r>
    </w:p>
    <w:p w:rsidR="000A1AED" w:rsidRDefault="000A1AED" w:rsidP="000A1AED">
      <w:pPr>
        <w:jc w:val="both"/>
      </w:pPr>
      <w:r>
        <w:t>Plenary speakers – Professor Richard Golson (Texas A&amp;M); other plenary TBC (possibly Pascal Ory)</w:t>
      </w:r>
    </w:p>
    <w:p w:rsidR="000A1AED" w:rsidRDefault="000A1AED" w:rsidP="000A1AED">
      <w:pPr>
        <w:jc w:val="both"/>
      </w:pPr>
      <w:r>
        <w:t xml:space="preserve">Session planned in the Pallant House Gallery </w:t>
      </w:r>
      <w:hyperlink r:id="rId8" w:history="1">
        <w:r w:rsidRPr="00934208">
          <w:rPr>
            <w:rStyle w:val="Hyperlink"/>
          </w:rPr>
          <w:t>http://www.pallant.org.uk</w:t>
        </w:r>
      </w:hyperlink>
      <w:r>
        <w:t xml:space="preserve"> </w:t>
      </w:r>
    </w:p>
    <w:p w:rsidR="000A1AED" w:rsidRDefault="000A1AED" w:rsidP="000A1AED">
      <w:pPr>
        <w:jc w:val="both"/>
        <w:rPr>
          <w:u w:val="single"/>
        </w:rPr>
      </w:pPr>
    </w:p>
    <w:p w:rsidR="000A1AED" w:rsidRPr="00D97C05" w:rsidRDefault="000A1AED" w:rsidP="000A1AED">
      <w:pPr>
        <w:jc w:val="both"/>
        <w:rPr>
          <w:u w:val="single"/>
        </w:rPr>
      </w:pPr>
      <w:r w:rsidRPr="00D97C05">
        <w:rPr>
          <w:u w:val="single"/>
        </w:rPr>
        <w:t>Point for discussion</w:t>
      </w:r>
    </w:p>
    <w:p w:rsidR="000A1AED" w:rsidRPr="00D97C05" w:rsidRDefault="000A1AED" w:rsidP="000A1AED">
      <w:pPr>
        <w:jc w:val="both"/>
      </w:pPr>
      <w:r>
        <w:t>Does the society want to continue offering different rates for SSFH members/ non-members? Very complicated for organisers to set up and also for delegates when registering via online stores. St. Andrews team were not able to offer this option without offering delegates 17 different options in Online Store (from which they would choose up to 6 options).</w:t>
      </w:r>
    </w:p>
    <w:p w:rsidR="000A1AED" w:rsidRDefault="000A1AED" w:rsidP="000A1AED">
      <w:pPr>
        <w:jc w:val="both"/>
      </w:pPr>
    </w:p>
    <w:p w:rsidR="000A1AED" w:rsidRDefault="000A1AED" w:rsidP="000A1AED">
      <w:pPr>
        <w:rPr>
          <w:b/>
          <w:sz w:val="22"/>
          <w:szCs w:val="22"/>
        </w:rPr>
      </w:pPr>
    </w:p>
    <w:p w:rsidR="000A1AED" w:rsidRDefault="000A1AED" w:rsidP="000A1AED">
      <w:pPr>
        <w:rPr>
          <w:b/>
          <w:sz w:val="22"/>
          <w:szCs w:val="22"/>
        </w:rPr>
      </w:pPr>
    </w:p>
    <w:p w:rsidR="000A1AED" w:rsidRDefault="000A1AED" w:rsidP="000A1AED">
      <w:pPr>
        <w:rPr>
          <w:b/>
          <w:sz w:val="22"/>
          <w:szCs w:val="22"/>
        </w:rPr>
      </w:pPr>
      <w:r>
        <w:rPr>
          <w:b/>
          <w:sz w:val="22"/>
          <w:szCs w:val="22"/>
        </w:rPr>
        <w:br w:type="page"/>
      </w:r>
    </w:p>
    <w:p w:rsidR="000A1AED" w:rsidRDefault="000A1AED" w:rsidP="000A1AED">
      <w:pPr>
        <w:jc w:val="center"/>
        <w:rPr>
          <w:b/>
          <w:sz w:val="22"/>
          <w:szCs w:val="22"/>
        </w:rPr>
      </w:pPr>
      <w:r>
        <w:rPr>
          <w:b/>
          <w:sz w:val="22"/>
          <w:szCs w:val="22"/>
        </w:rPr>
        <w:lastRenderedPageBreak/>
        <w:t>APPENDIX VI – REPORT FROM THE POSTGRADUATE REPRESENTATIVES</w:t>
      </w:r>
    </w:p>
    <w:p w:rsidR="000A1AED" w:rsidRDefault="000A1AED" w:rsidP="000A1AED">
      <w:pPr>
        <w:rPr>
          <w:b/>
          <w:sz w:val="22"/>
          <w:szCs w:val="22"/>
        </w:rPr>
      </w:pPr>
    </w:p>
    <w:p w:rsidR="000A1AED" w:rsidRPr="001D11EA" w:rsidRDefault="000A1AED" w:rsidP="000A1AED">
      <w:pPr>
        <w:widowControl w:val="0"/>
        <w:autoSpaceDE w:val="0"/>
        <w:autoSpaceDN w:val="0"/>
        <w:adjustRightInd w:val="0"/>
        <w:jc w:val="center"/>
        <w:rPr>
          <w:rFonts w:asciiTheme="majorHAnsi" w:hAnsiTheme="majorHAnsi" w:cs="Arial"/>
          <w:b/>
          <w:sz w:val="28"/>
          <w:lang w:val="en-GB"/>
        </w:rPr>
      </w:pPr>
      <w:r w:rsidRPr="001D11EA">
        <w:rPr>
          <w:rFonts w:asciiTheme="majorHAnsi" w:hAnsiTheme="majorHAnsi" w:cs="Arial"/>
          <w:b/>
          <w:sz w:val="28"/>
          <w:lang w:val="en-GB"/>
        </w:rPr>
        <w:t>SSFH Postgraduate representatives’ report</w:t>
      </w:r>
      <w:r>
        <w:rPr>
          <w:rFonts w:asciiTheme="majorHAnsi" w:hAnsiTheme="majorHAnsi" w:cs="Arial"/>
          <w:b/>
          <w:sz w:val="28"/>
          <w:lang w:val="en-GB"/>
        </w:rPr>
        <w:t xml:space="preserve"> (June 2015)</w:t>
      </w:r>
    </w:p>
    <w:p w:rsidR="000A1AED" w:rsidRPr="001D11EA" w:rsidRDefault="000A1AED" w:rsidP="000A1AED">
      <w:pPr>
        <w:widowControl w:val="0"/>
        <w:autoSpaceDE w:val="0"/>
        <w:autoSpaceDN w:val="0"/>
        <w:adjustRightInd w:val="0"/>
        <w:jc w:val="both"/>
        <w:rPr>
          <w:rFonts w:asciiTheme="majorHAnsi" w:hAnsiTheme="majorHAnsi" w:cs="Arial"/>
          <w:b/>
          <w:lang w:val="en-GB"/>
        </w:rPr>
      </w:pPr>
    </w:p>
    <w:p w:rsidR="000A1AED" w:rsidRPr="001D11EA" w:rsidRDefault="000A1AED" w:rsidP="000A1AED">
      <w:pPr>
        <w:widowControl w:val="0"/>
        <w:autoSpaceDE w:val="0"/>
        <w:autoSpaceDN w:val="0"/>
        <w:adjustRightInd w:val="0"/>
        <w:jc w:val="both"/>
        <w:rPr>
          <w:rFonts w:asciiTheme="majorHAnsi" w:hAnsiTheme="majorHAnsi" w:cs="Arial"/>
          <w:lang w:val="en-GB"/>
        </w:rPr>
      </w:pPr>
      <w:r w:rsidRPr="001D11EA">
        <w:rPr>
          <w:rFonts w:asciiTheme="majorHAnsi" w:hAnsiTheme="majorHAnsi" w:cs="Arial"/>
          <w:lang w:val="en-GB"/>
        </w:rPr>
        <w:t xml:space="preserve">Our activities over the past six months have fallen into two main areas – </w:t>
      </w:r>
      <w:r>
        <w:rPr>
          <w:rFonts w:asciiTheme="majorHAnsi" w:hAnsiTheme="majorHAnsi" w:cs="Arial"/>
          <w:lang w:val="en-GB"/>
        </w:rPr>
        <w:t>continuing to work</w:t>
      </w:r>
      <w:r w:rsidRPr="001D11EA">
        <w:rPr>
          <w:rFonts w:asciiTheme="majorHAnsi" w:hAnsiTheme="majorHAnsi" w:cs="Arial"/>
          <w:lang w:val="en-GB"/>
        </w:rPr>
        <w:t xml:space="preserve"> on the French History Network Blog and organising the annual Postgraduate Study Day in association with the ASMCF.</w:t>
      </w:r>
      <w:r>
        <w:rPr>
          <w:rFonts w:asciiTheme="majorHAnsi" w:hAnsiTheme="majorHAnsi" w:cs="Arial"/>
          <w:lang w:val="en-GB"/>
        </w:rPr>
        <w:t xml:space="preserve"> We have also drafted a job description to help recruit the next two representatives.</w:t>
      </w:r>
    </w:p>
    <w:p w:rsidR="000A1AED" w:rsidRPr="001D11EA" w:rsidRDefault="000A1AED" w:rsidP="000A1AED">
      <w:pPr>
        <w:widowControl w:val="0"/>
        <w:autoSpaceDE w:val="0"/>
        <w:autoSpaceDN w:val="0"/>
        <w:adjustRightInd w:val="0"/>
        <w:jc w:val="both"/>
        <w:rPr>
          <w:rFonts w:asciiTheme="majorHAnsi" w:hAnsiTheme="majorHAnsi" w:cs="Arial"/>
          <w:lang w:val="en-GB"/>
        </w:rPr>
      </w:pPr>
    </w:p>
    <w:p w:rsidR="000A1AED" w:rsidRPr="001D11EA" w:rsidRDefault="000A1AED" w:rsidP="000A1AED">
      <w:pPr>
        <w:widowControl w:val="0"/>
        <w:autoSpaceDE w:val="0"/>
        <w:autoSpaceDN w:val="0"/>
        <w:adjustRightInd w:val="0"/>
        <w:jc w:val="both"/>
        <w:rPr>
          <w:rFonts w:asciiTheme="majorHAnsi" w:hAnsiTheme="majorHAnsi" w:cs="Arial"/>
          <w:b/>
          <w:lang w:val="en-GB"/>
        </w:rPr>
      </w:pPr>
      <w:r w:rsidRPr="001D11EA">
        <w:rPr>
          <w:rFonts w:asciiTheme="majorHAnsi" w:hAnsiTheme="majorHAnsi" w:cs="Arial"/>
          <w:b/>
          <w:lang w:val="en-GB"/>
        </w:rPr>
        <w:t>French History Network Blog</w:t>
      </w:r>
    </w:p>
    <w:p w:rsidR="000A1AED" w:rsidRPr="001D11EA" w:rsidRDefault="000A1AED" w:rsidP="000A1AED">
      <w:pPr>
        <w:widowControl w:val="0"/>
        <w:autoSpaceDE w:val="0"/>
        <w:autoSpaceDN w:val="0"/>
        <w:adjustRightInd w:val="0"/>
        <w:jc w:val="both"/>
        <w:rPr>
          <w:rFonts w:asciiTheme="majorHAnsi" w:hAnsiTheme="majorHAnsi" w:cs="Arial"/>
          <w:b/>
          <w:lang w:val="en-GB"/>
        </w:rPr>
      </w:pPr>
    </w:p>
    <w:p w:rsidR="000A1AED" w:rsidRPr="001D11EA" w:rsidRDefault="000A1AED" w:rsidP="000A1AED">
      <w:pPr>
        <w:widowControl w:val="0"/>
        <w:autoSpaceDE w:val="0"/>
        <w:autoSpaceDN w:val="0"/>
        <w:adjustRightInd w:val="0"/>
        <w:jc w:val="both"/>
        <w:rPr>
          <w:rFonts w:asciiTheme="majorHAnsi" w:hAnsiTheme="majorHAnsi" w:cs="Arial"/>
          <w:lang w:val="en-GB"/>
        </w:rPr>
      </w:pPr>
      <w:r w:rsidRPr="001D11EA">
        <w:rPr>
          <w:rFonts w:asciiTheme="majorHAnsi" w:hAnsiTheme="majorHAnsi" w:cs="Arial"/>
          <w:lang w:val="en-GB"/>
        </w:rPr>
        <w:t xml:space="preserve">In conjunction with Ludivine Broch and Alison Carrol we have </w:t>
      </w:r>
      <w:r>
        <w:rPr>
          <w:rFonts w:asciiTheme="majorHAnsi" w:hAnsiTheme="majorHAnsi" w:cs="Arial"/>
          <w:lang w:val="en-GB"/>
        </w:rPr>
        <w:t>continued to work</w:t>
      </w:r>
      <w:r w:rsidRPr="001D11EA">
        <w:rPr>
          <w:rFonts w:asciiTheme="majorHAnsi" w:hAnsiTheme="majorHAnsi" w:cs="Arial"/>
          <w:lang w:val="en-GB"/>
        </w:rPr>
        <w:t xml:space="preserve"> as spec</w:t>
      </w:r>
      <w:r>
        <w:rPr>
          <w:rFonts w:asciiTheme="majorHAnsi" w:hAnsiTheme="majorHAnsi" w:cs="Arial"/>
          <w:lang w:val="en-GB"/>
        </w:rPr>
        <w:t xml:space="preserve">ial features editors on the </w:t>
      </w:r>
      <w:r w:rsidRPr="001D11EA">
        <w:rPr>
          <w:rFonts w:asciiTheme="majorHAnsi" w:hAnsiTheme="majorHAnsi" w:cs="Arial"/>
          <w:lang w:val="en-GB"/>
        </w:rPr>
        <w:t xml:space="preserve">FHN blog, posting pieces about the postgraduate community and the Study Day as well as interviews with academics as part of the ‘under the spotlight’ feature. </w:t>
      </w:r>
      <w:r>
        <w:rPr>
          <w:rFonts w:asciiTheme="majorHAnsi" w:hAnsiTheme="majorHAnsi" w:cs="Arial"/>
          <w:lang w:val="en-GB"/>
        </w:rPr>
        <w:t>Recently this has featured key note speakers (Alice Conklin and David Bell) to tie in with the annual conference.</w:t>
      </w:r>
    </w:p>
    <w:p w:rsidR="000A1AED" w:rsidRPr="001D11EA" w:rsidRDefault="000A1AED" w:rsidP="000A1AED">
      <w:pPr>
        <w:widowControl w:val="0"/>
        <w:autoSpaceDE w:val="0"/>
        <w:autoSpaceDN w:val="0"/>
        <w:adjustRightInd w:val="0"/>
        <w:jc w:val="both"/>
        <w:rPr>
          <w:rFonts w:asciiTheme="majorHAnsi" w:hAnsiTheme="majorHAnsi" w:cs="Arial"/>
          <w:b/>
          <w:lang w:val="en-GB"/>
        </w:rPr>
      </w:pPr>
    </w:p>
    <w:p w:rsidR="000A1AED" w:rsidRPr="001D11EA" w:rsidRDefault="000A1AED" w:rsidP="000A1AED">
      <w:pPr>
        <w:pStyle w:val="NoSpacing"/>
        <w:jc w:val="both"/>
        <w:rPr>
          <w:rFonts w:asciiTheme="majorHAnsi" w:hAnsiTheme="majorHAnsi"/>
          <w:szCs w:val="24"/>
        </w:rPr>
      </w:pPr>
      <w:r w:rsidRPr="001D11EA">
        <w:rPr>
          <w:rFonts w:asciiTheme="majorHAnsi" w:hAnsiTheme="majorHAnsi" w:cs="Arial"/>
          <w:b/>
          <w:szCs w:val="24"/>
        </w:rPr>
        <w:t>SSFH and ASMCF Postgraduate Study Day, University of Exeter, Saturday 7</w:t>
      </w:r>
      <w:r w:rsidRPr="001D11EA">
        <w:rPr>
          <w:rFonts w:asciiTheme="majorHAnsi" w:hAnsiTheme="majorHAnsi" w:cs="Arial"/>
          <w:b/>
          <w:szCs w:val="24"/>
          <w:vertAlign w:val="superscript"/>
        </w:rPr>
        <w:t>th</w:t>
      </w:r>
      <w:r w:rsidRPr="001D11EA">
        <w:rPr>
          <w:rFonts w:asciiTheme="majorHAnsi" w:hAnsiTheme="majorHAnsi" w:cs="Arial"/>
          <w:b/>
          <w:szCs w:val="24"/>
        </w:rPr>
        <w:t xml:space="preserve"> March 2015</w:t>
      </w:r>
      <w:r>
        <w:rPr>
          <w:rFonts w:asciiTheme="majorHAnsi" w:hAnsiTheme="majorHAnsi" w:cs="Arial"/>
          <w:b/>
          <w:szCs w:val="24"/>
        </w:rPr>
        <w:t xml:space="preserve">: </w:t>
      </w:r>
      <w:r>
        <w:rPr>
          <w:rFonts w:asciiTheme="majorHAnsi" w:hAnsiTheme="majorHAnsi"/>
          <w:b/>
          <w:szCs w:val="24"/>
        </w:rPr>
        <w:t>Report</w:t>
      </w:r>
    </w:p>
    <w:p w:rsidR="000A1AED" w:rsidRDefault="000A1AED" w:rsidP="000A1AED">
      <w:pPr>
        <w:pStyle w:val="NoSpacing"/>
        <w:spacing w:line="276" w:lineRule="auto"/>
        <w:jc w:val="both"/>
        <w:rPr>
          <w:rFonts w:asciiTheme="majorHAnsi" w:hAnsiTheme="majorHAnsi" w:cs="Arial Unicode MS"/>
          <w:szCs w:val="24"/>
        </w:rPr>
      </w:pPr>
    </w:p>
    <w:p w:rsidR="000A1AED" w:rsidRDefault="000A1AED" w:rsidP="000A1AED">
      <w:pPr>
        <w:pStyle w:val="NoSpacing"/>
        <w:spacing w:line="276" w:lineRule="auto"/>
        <w:jc w:val="both"/>
        <w:rPr>
          <w:rFonts w:asciiTheme="majorHAnsi" w:hAnsiTheme="majorHAnsi" w:cs="Arial Unicode MS"/>
          <w:szCs w:val="24"/>
        </w:rPr>
      </w:pPr>
      <w:r w:rsidRPr="001D11EA">
        <w:rPr>
          <w:rFonts w:asciiTheme="majorHAnsi" w:hAnsiTheme="majorHAnsi" w:cs="Arial Unicode MS"/>
          <w:szCs w:val="24"/>
        </w:rPr>
        <w:t xml:space="preserve">The Association for the Study of Modern and Contemporary France and the Society for the Study of French History's Joint Postgraduate Study Day was held on Saturday 7 March 2015 at the University of Exeter. Responding to the rise of global approaches within cultural, historical, and social studies, ‘The Local and the Global’ sought to examine the relationship between these two seemingly antonymous terms. The event welcomed eleven graduate speakers from across the United Kingdom, France, Morocco, and Exeter itself. Dr Claire Eldridge (University of Southampton) offered a keynote which discussed how </w:t>
      </w:r>
      <w:r w:rsidRPr="001D11EA">
        <w:rPr>
          <w:rFonts w:asciiTheme="majorHAnsi" w:hAnsiTheme="majorHAnsi" w:cs="Arial Unicode MS"/>
          <w:i/>
          <w:szCs w:val="24"/>
        </w:rPr>
        <w:t>pied-noir</w:t>
      </w:r>
      <w:r w:rsidRPr="001D11EA">
        <w:rPr>
          <w:rFonts w:asciiTheme="majorHAnsi" w:hAnsiTheme="majorHAnsi" w:cs="Arial Unicode MS"/>
          <w:szCs w:val="24"/>
        </w:rPr>
        <w:t xml:space="preserve"> communities in France appropriated global affairs to express local sentiments of marginalisation. This engaging lecture spoke to questions of collective memory, identification, and integration. </w:t>
      </w:r>
    </w:p>
    <w:p w:rsidR="000A1AED" w:rsidRDefault="000A1AED" w:rsidP="000A1AED">
      <w:pPr>
        <w:pStyle w:val="NoSpacing"/>
        <w:spacing w:line="276" w:lineRule="auto"/>
        <w:jc w:val="both"/>
        <w:rPr>
          <w:rFonts w:asciiTheme="majorHAnsi" w:hAnsiTheme="majorHAnsi" w:cs="Arial Unicode MS"/>
          <w:szCs w:val="24"/>
        </w:rPr>
      </w:pPr>
    </w:p>
    <w:p w:rsidR="000A1AED" w:rsidRPr="001D11EA" w:rsidRDefault="000A1AED" w:rsidP="000A1AED">
      <w:pPr>
        <w:pStyle w:val="NoSpacing"/>
        <w:spacing w:line="276" w:lineRule="auto"/>
        <w:jc w:val="both"/>
        <w:rPr>
          <w:rFonts w:asciiTheme="majorHAnsi" w:hAnsiTheme="majorHAnsi" w:cs="Arial Unicode MS"/>
          <w:szCs w:val="24"/>
        </w:rPr>
      </w:pPr>
      <w:r w:rsidRPr="001D11EA">
        <w:rPr>
          <w:rFonts w:asciiTheme="majorHAnsi" w:hAnsiTheme="majorHAnsi" w:cs="Arial Unicode MS"/>
          <w:szCs w:val="24"/>
        </w:rPr>
        <w:t xml:space="preserve">A diverse programme of papers covered the nineteenth to the twenty-first centuries, and explored the Francophone world from the shores of Normandy to Mali, via the Maghreb and the Sahara. The morning of the conference was dedicated to professional development sessions targeting key concerns for postgraduates considering a career in academia, including the viva, academic journals, monographs, and social media. In the afternoon, two parallel sessions of two panels each rounded off the programme. Panel A focused on the history of the urban environment and explored the political culture of three French cities. Using examples from literature and film, Panel B discussed representations of Francophone Africa and its relationship to France. Panel C explored how regional languages, the translation of literature, and the media coverage of rugby union contribute to a sense of identity in areas of the French-speaking world. Panel D offered new understanding of the ideologies and motivations behind French policy in Africa. Across the day, we found that considering local and global as opposites belies the potential impact that they can have upon one another. The organisers of the conference would like to thank </w:t>
      </w:r>
      <w:r w:rsidRPr="001D11EA">
        <w:rPr>
          <w:rFonts w:asciiTheme="majorHAnsi" w:hAnsiTheme="majorHAnsi" w:cs="Arial Unicode MS"/>
          <w:szCs w:val="24"/>
        </w:rPr>
        <w:lastRenderedPageBreak/>
        <w:t>ASMCF, SSFH, Exeter's College of Humanities, and the Voltaire Foundation for their kind financial support for this event.</w:t>
      </w:r>
    </w:p>
    <w:p w:rsidR="000A1AED" w:rsidRPr="001D11EA" w:rsidRDefault="000A1AED" w:rsidP="000A1AED">
      <w:pPr>
        <w:pStyle w:val="NoSpacing"/>
        <w:spacing w:line="276" w:lineRule="auto"/>
        <w:jc w:val="both"/>
        <w:rPr>
          <w:rFonts w:asciiTheme="majorHAnsi" w:hAnsiTheme="majorHAnsi"/>
          <w:szCs w:val="24"/>
        </w:rPr>
      </w:pPr>
    </w:p>
    <w:p w:rsidR="000A1AED" w:rsidRDefault="000A1AED" w:rsidP="000A1AED">
      <w:pPr>
        <w:pStyle w:val="NoSpacing"/>
        <w:spacing w:line="276" w:lineRule="auto"/>
        <w:jc w:val="both"/>
        <w:rPr>
          <w:rFonts w:asciiTheme="majorHAnsi" w:hAnsiTheme="majorHAnsi" w:cs="Arial Unicode MS"/>
          <w:szCs w:val="24"/>
        </w:rPr>
      </w:pPr>
      <w:r w:rsidRPr="001D11EA">
        <w:rPr>
          <w:rFonts w:asciiTheme="majorHAnsi" w:hAnsiTheme="majorHAnsi" w:cs="Arial Unicode MS"/>
          <w:szCs w:val="24"/>
        </w:rPr>
        <w:t>(Report by Stacie Allan, University of Bristol; Ellen Crabtree, Newcastle University; Lori Lee Oates, University of Exeter; and Mason Norton, Edge Hill University)</w:t>
      </w:r>
    </w:p>
    <w:p w:rsidR="000A1AED" w:rsidRDefault="000A1AED" w:rsidP="000A1AED">
      <w:pPr>
        <w:pStyle w:val="NoSpacing"/>
        <w:spacing w:line="276" w:lineRule="auto"/>
        <w:jc w:val="both"/>
        <w:rPr>
          <w:rFonts w:asciiTheme="majorHAnsi" w:hAnsiTheme="majorHAnsi" w:cs="Arial Unicode MS"/>
          <w:szCs w:val="24"/>
        </w:rPr>
      </w:pPr>
    </w:p>
    <w:p w:rsidR="000A1AED" w:rsidRPr="001D11EA" w:rsidRDefault="000A1AED" w:rsidP="000A1AED">
      <w:pPr>
        <w:pStyle w:val="NoSpacing"/>
        <w:spacing w:line="276" w:lineRule="auto"/>
        <w:jc w:val="both"/>
        <w:rPr>
          <w:rFonts w:asciiTheme="majorHAnsi" w:hAnsiTheme="majorHAnsi"/>
          <w:b/>
          <w:szCs w:val="24"/>
        </w:rPr>
      </w:pPr>
      <w:r>
        <w:rPr>
          <w:rFonts w:asciiTheme="majorHAnsi" w:hAnsiTheme="majorHAnsi" w:cs="Arial Unicode MS"/>
          <w:b/>
          <w:szCs w:val="24"/>
        </w:rPr>
        <w:t>Study day b</w:t>
      </w:r>
      <w:r w:rsidRPr="001D11EA">
        <w:rPr>
          <w:rFonts w:asciiTheme="majorHAnsi" w:hAnsiTheme="majorHAnsi" w:cs="Arial Unicode MS"/>
          <w:b/>
          <w:szCs w:val="24"/>
        </w:rPr>
        <w:t>udget</w:t>
      </w:r>
    </w:p>
    <w:p w:rsidR="000A1AED" w:rsidRDefault="000A1AED" w:rsidP="000A1AED">
      <w:pPr>
        <w:jc w:val="both"/>
        <w:rPr>
          <w:rFonts w:asciiTheme="majorHAnsi" w:hAnsiTheme="majorHAnsi"/>
        </w:rPr>
      </w:pPr>
    </w:p>
    <w:p w:rsidR="000A1AED" w:rsidRDefault="000A1AED" w:rsidP="000A1AED">
      <w:pPr>
        <w:jc w:val="both"/>
        <w:rPr>
          <w:rFonts w:asciiTheme="majorHAnsi" w:hAnsiTheme="majorHAnsi"/>
        </w:rPr>
      </w:pPr>
      <w:r>
        <w:rPr>
          <w:noProof/>
          <w:lang w:val="en-GB"/>
        </w:rPr>
        <w:drawing>
          <wp:inline distT="0" distB="0" distL="0" distR="0" wp14:anchorId="7C233E06" wp14:editId="6F0F6689">
            <wp:extent cx="6742624" cy="29718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27" t="23965" r="16638" b="13289"/>
                    <a:stretch/>
                  </pic:blipFill>
                  <pic:spPr bwMode="auto">
                    <a:xfrm>
                      <a:off x="0" y="0"/>
                      <a:ext cx="6763640" cy="2981063"/>
                    </a:xfrm>
                    <a:prstGeom prst="rect">
                      <a:avLst/>
                    </a:prstGeom>
                    <a:ln>
                      <a:noFill/>
                    </a:ln>
                    <a:extLst>
                      <a:ext uri="{53640926-AAD7-44D8-BBD7-CCE9431645EC}">
                        <a14:shadowObscured xmlns:a14="http://schemas.microsoft.com/office/drawing/2010/main"/>
                      </a:ext>
                    </a:extLst>
                  </pic:spPr>
                </pic:pic>
              </a:graphicData>
            </a:graphic>
          </wp:inline>
        </w:drawing>
      </w:r>
    </w:p>
    <w:p w:rsidR="000A1AED" w:rsidRDefault="000A1AED" w:rsidP="000A1AED">
      <w:pPr>
        <w:jc w:val="both"/>
        <w:rPr>
          <w:rFonts w:asciiTheme="majorHAnsi" w:hAnsiTheme="majorHAnsi"/>
        </w:rPr>
      </w:pPr>
    </w:p>
    <w:p w:rsidR="000A1AED" w:rsidRDefault="000A1AED" w:rsidP="000A1AED">
      <w:pPr>
        <w:jc w:val="both"/>
        <w:rPr>
          <w:rFonts w:asciiTheme="majorHAnsi" w:hAnsiTheme="majorHAnsi"/>
        </w:rPr>
      </w:pPr>
    </w:p>
    <w:p w:rsidR="000A1AED" w:rsidRDefault="000A1AED" w:rsidP="000A1AED">
      <w:pPr>
        <w:jc w:val="both"/>
        <w:rPr>
          <w:rFonts w:asciiTheme="majorHAnsi" w:hAnsiTheme="majorHAnsi"/>
        </w:rPr>
      </w:pPr>
    </w:p>
    <w:p w:rsidR="000A1AED" w:rsidRDefault="000A1AED" w:rsidP="000A1AED">
      <w:pPr>
        <w:jc w:val="both"/>
        <w:rPr>
          <w:rFonts w:asciiTheme="majorHAnsi" w:hAnsiTheme="majorHAnsi"/>
        </w:rPr>
      </w:pPr>
      <w:r>
        <w:rPr>
          <w:rFonts w:asciiTheme="majorHAnsi" w:hAnsiTheme="majorHAnsi"/>
        </w:rPr>
        <w:t>Lori Lee Oates &amp; Ellen Crabtree</w:t>
      </w:r>
    </w:p>
    <w:p w:rsidR="000A1AED" w:rsidRPr="001D11EA" w:rsidRDefault="000A1AED" w:rsidP="000A1AED">
      <w:pPr>
        <w:jc w:val="both"/>
        <w:rPr>
          <w:rFonts w:asciiTheme="majorHAnsi" w:hAnsiTheme="majorHAnsi"/>
        </w:rPr>
      </w:pPr>
      <w:r>
        <w:rPr>
          <w:rFonts w:asciiTheme="majorHAnsi" w:hAnsiTheme="majorHAnsi"/>
        </w:rPr>
        <w:t>18 June 2015</w:t>
      </w:r>
    </w:p>
    <w:p w:rsidR="000A1AED" w:rsidRPr="009B625C" w:rsidRDefault="000A1AED" w:rsidP="000A1AED">
      <w:pPr>
        <w:rPr>
          <w:b/>
          <w:sz w:val="22"/>
          <w:szCs w:val="22"/>
        </w:rPr>
      </w:pPr>
    </w:p>
    <w:p w:rsidR="00905650" w:rsidRPr="009B625C" w:rsidRDefault="00905650" w:rsidP="0044574B">
      <w:pPr>
        <w:ind w:left="720"/>
        <w:rPr>
          <w:b/>
          <w:sz w:val="22"/>
          <w:szCs w:val="22"/>
        </w:rPr>
      </w:pPr>
    </w:p>
    <w:sectPr w:rsidR="00905650" w:rsidRPr="009B625C" w:rsidSect="000050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merican Typewriter">
    <w:altName w:val="Arial"/>
    <w:charset w:val="00"/>
    <w:family w:val="auto"/>
    <w:pitch w:val="variable"/>
    <w:sig w:usb0="00000000" w:usb1="00000019" w:usb2="00000000" w:usb3="00000000" w:csb0="000001F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DEF"/>
    <w:multiLevelType w:val="hybridMultilevel"/>
    <w:tmpl w:val="AE347B28"/>
    <w:lvl w:ilvl="0" w:tplc="559E1E8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0F2406EA"/>
    <w:multiLevelType w:val="hybridMultilevel"/>
    <w:tmpl w:val="9562617C"/>
    <w:lvl w:ilvl="0" w:tplc="0ED0B9AC">
      <w:numFmt w:val="bullet"/>
      <w:lvlText w:val="-"/>
      <w:lvlJc w:val="left"/>
      <w:pPr>
        <w:ind w:left="1080" w:hanging="360"/>
      </w:pPr>
      <w:rPr>
        <w:rFonts w:ascii="Garamond" w:eastAsiaTheme="minorEastAsia" w:hAnsi="Garamond" w:cs="American Typewriter"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E47126"/>
    <w:multiLevelType w:val="hybridMultilevel"/>
    <w:tmpl w:val="73120F3E"/>
    <w:lvl w:ilvl="0" w:tplc="E59E59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30E04E0E"/>
    <w:multiLevelType w:val="hybridMultilevel"/>
    <w:tmpl w:val="8ABCB85E"/>
    <w:lvl w:ilvl="0" w:tplc="339E9F22">
      <w:start w:val="1"/>
      <w:numFmt w:val="bullet"/>
      <w:lvlText w:val=""/>
      <w:lvlJc w:val="left"/>
      <w:pPr>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7393E"/>
    <w:multiLevelType w:val="singleLevel"/>
    <w:tmpl w:val="677A44CC"/>
    <w:lvl w:ilvl="0">
      <w:start w:val="1"/>
      <w:numFmt w:val="decimal"/>
      <w:lvlText w:val="%1."/>
      <w:lvlJc w:val="left"/>
      <w:pPr>
        <w:tabs>
          <w:tab w:val="num" w:pos="720"/>
        </w:tabs>
        <w:ind w:left="720" w:hanging="720"/>
      </w:pPr>
      <w:rPr>
        <w:rFonts w:hint="default"/>
      </w:rPr>
    </w:lvl>
  </w:abstractNum>
  <w:abstractNum w:abstractNumId="5" w15:restartNumberingAfterBreak="0">
    <w:nsid w:val="33DC391C"/>
    <w:multiLevelType w:val="hybridMultilevel"/>
    <w:tmpl w:val="EEB40F6C"/>
    <w:lvl w:ilvl="0" w:tplc="02DCF4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3A4580"/>
    <w:multiLevelType w:val="hybridMultilevel"/>
    <w:tmpl w:val="D456A6B2"/>
    <w:lvl w:ilvl="0" w:tplc="AD8ECA14">
      <w:numFmt w:val="bullet"/>
      <w:lvlText w:val="-"/>
      <w:lvlJc w:val="left"/>
      <w:pPr>
        <w:ind w:left="720" w:hanging="360"/>
      </w:pPr>
      <w:rPr>
        <w:rFonts w:ascii="Garamond" w:eastAsiaTheme="minorEastAsia" w:hAnsi="Garamond" w:cs="American Typewriter"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D22F4"/>
    <w:multiLevelType w:val="hybridMultilevel"/>
    <w:tmpl w:val="80360F3A"/>
    <w:lvl w:ilvl="0" w:tplc="27F660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25E0927"/>
    <w:multiLevelType w:val="singleLevel"/>
    <w:tmpl w:val="8FF665D2"/>
    <w:lvl w:ilvl="0">
      <w:start w:val="1"/>
      <w:numFmt w:val="lowerLetter"/>
      <w:lvlText w:val="(%1)"/>
      <w:lvlJc w:val="left"/>
      <w:pPr>
        <w:tabs>
          <w:tab w:val="num" w:pos="1800"/>
        </w:tabs>
        <w:ind w:left="1800" w:hanging="360"/>
      </w:pPr>
      <w:rPr>
        <w:rFonts w:hint="default"/>
      </w:rPr>
    </w:lvl>
  </w:abstractNum>
  <w:abstractNum w:abstractNumId="9" w15:restartNumberingAfterBreak="0">
    <w:nsid w:val="6A6D159C"/>
    <w:multiLevelType w:val="hybridMultilevel"/>
    <w:tmpl w:val="09EC041C"/>
    <w:lvl w:ilvl="0" w:tplc="16F890B6">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7EEB47AB"/>
    <w:multiLevelType w:val="hybridMultilevel"/>
    <w:tmpl w:val="17CEBD82"/>
    <w:lvl w:ilvl="0" w:tplc="16AE9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8"/>
  </w:num>
  <w:num w:numId="3">
    <w:abstractNumId w:val="9"/>
  </w:num>
  <w:num w:numId="4">
    <w:abstractNumId w:val="2"/>
  </w:num>
  <w:num w:numId="5">
    <w:abstractNumId w:val="10"/>
  </w:num>
  <w:num w:numId="6">
    <w:abstractNumId w:val="7"/>
  </w:num>
  <w:num w:numId="7">
    <w:abstractNumId w:val="5"/>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40"/>
    <w:rsid w:val="0000340C"/>
    <w:rsid w:val="000050F1"/>
    <w:rsid w:val="000200DD"/>
    <w:rsid w:val="00025846"/>
    <w:rsid w:val="000400E1"/>
    <w:rsid w:val="00054985"/>
    <w:rsid w:val="0007729E"/>
    <w:rsid w:val="000874C7"/>
    <w:rsid w:val="0009619F"/>
    <w:rsid w:val="000A1AED"/>
    <w:rsid w:val="000B572A"/>
    <w:rsid w:val="000E2FD9"/>
    <w:rsid w:val="00102CBE"/>
    <w:rsid w:val="00110024"/>
    <w:rsid w:val="001110AA"/>
    <w:rsid w:val="00113AD9"/>
    <w:rsid w:val="001A4C44"/>
    <w:rsid w:val="001D1801"/>
    <w:rsid w:val="001E255F"/>
    <w:rsid w:val="002073F9"/>
    <w:rsid w:val="002319A7"/>
    <w:rsid w:val="0024640C"/>
    <w:rsid w:val="00275F16"/>
    <w:rsid w:val="00280CE9"/>
    <w:rsid w:val="00281055"/>
    <w:rsid w:val="00286905"/>
    <w:rsid w:val="002A53B3"/>
    <w:rsid w:val="002C523D"/>
    <w:rsid w:val="002E0B7D"/>
    <w:rsid w:val="002E1243"/>
    <w:rsid w:val="002F1BF0"/>
    <w:rsid w:val="003144E6"/>
    <w:rsid w:val="00317E03"/>
    <w:rsid w:val="00323696"/>
    <w:rsid w:val="00334F4C"/>
    <w:rsid w:val="00346A49"/>
    <w:rsid w:val="0037656E"/>
    <w:rsid w:val="0038306A"/>
    <w:rsid w:val="003B33B1"/>
    <w:rsid w:val="003C141F"/>
    <w:rsid w:val="003C51AA"/>
    <w:rsid w:val="004267B7"/>
    <w:rsid w:val="004333CC"/>
    <w:rsid w:val="0044574B"/>
    <w:rsid w:val="004744E0"/>
    <w:rsid w:val="00481E0C"/>
    <w:rsid w:val="00496580"/>
    <w:rsid w:val="004A680B"/>
    <w:rsid w:val="004B29D0"/>
    <w:rsid w:val="004D22FD"/>
    <w:rsid w:val="004D4F25"/>
    <w:rsid w:val="0052325B"/>
    <w:rsid w:val="00550CFA"/>
    <w:rsid w:val="00556FC6"/>
    <w:rsid w:val="0058404D"/>
    <w:rsid w:val="005C566F"/>
    <w:rsid w:val="005E2306"/>
    <w:rsid w:val="005E7AFE"/>
    <w:rsid w:val="00617B99"/>
    <w:rsid w:val="00634543"/>
    <w:rsid w:val="00647DC0"/>
    <w:rsid w:val="00667370"/>
    <w:rsid w:val="00667731"/>
    <w:rsid w:val="00691E79"/>
    <w:rsid w:val="006924CF"/>
    <w:rsid w:val="006A34C2"/>
    <w:rsid w:val="006B59D7"/>
    <w:rsid w:val="006F0262"/>
    <w:rsid w:val="006F073B"/>
    <w:rsid w:val="0071377C"/>
    <w:rsid w:val="007210CB"/>
    <w:rsid w:val="007E2AC8"/>
    <w:rsid w:val="007E7E2D"/>
    <w:rsid w:val="007F42F1"/>
    <w:rsid w:val="00822213"/>
    <w:rsid w:val="00847945"/>
    <w:rsid w:val="008503EB"/>
    <w:rsid w:val="00854A43"/>
    <w:rsid w:val="00864264"/>
    <w:rsid w:val="0089353B"/>
    <w:rsid w:val="00905650"/>
    <w:rsid w:val="0091043F"/>
    <w:rsid w:val="00910EF0"/>
    <w:rsid w:val="009133DA"/>
    <w:rsid w:val="00924342"/>
    <w:rsid w:val="00925BD6"/>
    <w:rsid w:val="0093485C"/>
    <w:rsid w:val="009744A7"/>
    <w:rsid w:val="00982080"/>
    <w:rsid w:val="009A1661"/>
    <w:rsid w:val="009B2000"/>
    <w:rsid w:val="009B625C"/>
    <w:rsid w:val="00A0567E"/>
    <w:rsid w:val="00A25CE0"/>
    <w:rsid w:val="00A27A4B"/>
    <w:rsid w:val="00AB05EC"/>
    <w:rsid w:val="00AB5E82"/>
    <w:rsid w:val="00AE1FEC"/>
    <w:rsid w:val="00B11D1F"/>
    <w:rsid w:val="00B27950"/>
    <w:rsid w:val="00B45B54"/>
    <w:rsid w:val="00B578C3"/>
    <w:rsid w:val="00B63188"/>
    <w:rsid w:val="00B639BF"/>
    <w:rsid w:val="00B948BF"/>
    <w:rsid w:val="00BA5E91"/>
    <w:rsid w:val="00C109E4"/>
    <w:rsid w:val="00C137E5"/>
    <w:rsid w:val="00C24F55"/>
    <w:rsid w:val="00C7213F"/>
    <w:rsid w:val="00C83CF9"/>
    <w:rsid w:val="00C87AA8"/>
    <w:rsid w:val="00CA2702"/>
    <w:rsid w:val="00CF2687"/>
    <w:rsid w:val="00D04B98"/>
    <w:rsid w:val="00D075CA"/>
    <w:rsid w:val="00D15766"/>
    <w:rsid w:val="00D9152A"/>
    <w:rsid w:val="00DA39CF"/>
    <w:rsid w:val="00DB0902"/>
    <w:rsid w:val="00DF75BF"/>
    <w:rsid w:val="00E51385"/>
    <w:rsid w:val="00E51D23"/>
    <w:rsid w:val="00E67240"/>
    <w:rsid w:val="00E75EA8"/>
    <w:rsid w:val="00EA4800"/>
    <w:rsid w:val="00EB3455"/>
    <w:rsid w:val="00EC7A92"/>
    <w:rsid w:val="00ED348E"/>
    <w:rsid w:val="00EE04F8"/>
    <w:rsid w:val="00EE2D70"/>
    <w:rsid w:val="00EF339F"/>
    <w:rsid w:val="00F3165C"/>
    <w:rsid w:val="00F67C25"/>
    <w:rsid w:val="00F90962"/>
    <w:rsid w:val="00FE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3D90C1-F187-4426-B8F1-86A815DE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240"/>
    <w:rPr>
      <w:lang w:val="en-US"/>
    </w:rPr>
  </w:style>
  <w:style w:type="paragraph" w:styleId="Heading1">
    <w:name w:val="heading 1"/>
    <w:basedOn w:val="Normal"/>
    <w:next w:val="Normal"/>
    <w:qFormat/>
    <w:rsid w:val="00E67240"/>
    <w:pPr>
      <w:keepNext/>
      <w:jc w:val="center"/>
      <w:outlineLvl w:val="0"/>
    </w:pPr>
    <w:rPr>
      <w:b/>
    </w:rPr>
  </w:style>
  <w:style w:type="paragraph" w:styleId="Heading2">
    <w:name w:val="heading 2"/>
    <w:basedOn w:val="Normal"/>
    <w:next w:val="Normal"/>
    <w:qFormat/>
    <w:rsid w:val="00E67240"/>
    <w:pPr>
      <w:keepNext/>
      <w:jc w:val="center"/>
      <w:outlineLvl w:val="1"/>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67240"/>
    <w:pPr>
      <w:jc w:val="center"/>
    </w:pPr>
    <w:rPr>
      <w:rFonts w:ascii="Garamond" w:hAnsi="Garamond"/>
      <w:i/>
      <w:sz w:val="40"/>
    </w:rPr>
  </w:style>
  <w:style w:type="paragraph" w:styleId="DocumentMap">
    <w:name w:val="Document Map"/>
    <w:basedOn w:val="Normal"/>
    <w:semiHidden/>
    <w:rsid w:val="00E67240"/>
    <w:pPr>
      <w:shd w:val="clear" w:color="auto" w:fill="000080"/>
    </w:pPr>
    <w:rPr>
      <w:rFonts w:ascii="Tahoma" w:hAnsi="Tahoma" w:cs="Tahoma"/>
    </w:rPr>
  </w:style>
  <w:style w:type="paragraph" w:styleId="BalloonText">
    <w:name w:val="Balloon Text"/>
    <w:basedOn w:val="Normal"/>
    <w:link w:val="BalloonTextChar"/>
    <w:rsid w:val="00AB5E82"/>
    <w:rPr>
      <w:rFonts w:ascii="Tahoma" w:hAnsi="Tahoma" w:cs="Tahoma"/>
      <w:sz w:val="16"/>
      <w:szCs w:val="16"/>
    </w:rPr>
  </w:style>
  <w:style w:type="character" w:customStyle="1" w:styleId="BalloonTextChar">
    <w:name w:val="Balloon Text Char"/>
    <w:basedOn w:val="DefaultParagraphFont"/>
    <w:link w:val="BalloonText"/>
    <w:rsid w:val="00AB5E82"/>
    <w:rPr>
      <w:rFonts w:ascii="Tahoma" w:hAnsi="Tahoma" w:cs="Tahoma"/>
      <w:sz w:val="16"/>
      <w:szCs w:val="16"/>
      <w:lang w:val="en-US"/>
    </w:rPr>
  </w:style>
  <w:style w:type="paragraph" w:styleId="ListParagraph">
    <w:name w:val="List Paragraph"/>
    <w:basedOn w:val="Normal"/>
    <w:uiPriority w:val="34"/>
    <w:qFormat/>
    <w:rsid w:val="00905650"/>
    <w:pPr>
      <w:ind w:left="720"/>
      <w:contextualSpacing/>
    </w:pPr>
    <w:rPr>
      <w:rFonts w:eastAsiaTheme="minorEastAsia" w:cstheme="minorBidi"/>
      <w:sz w:val="24"/>
      <w:szCs w:val="24"/>
      <w:lang w:val="en-GB" w:eastAsia="en-US"/>
    </w:rPr>
  </w:style>
  <w:style w:type="paragraph" w:styleId="PlainText">
    <w:name w:val="Plain Text"/>
    <w:basedOn w:val="Normal"/>
    <w:link w:val="PlainTextChar"/>
    <w:uiPriority w:val="99"/>
    <w:unhideWhenUsed/>
    <w:rsid w:val="001D1801"/>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1D1801"/>
    <w:rPr>
      <w:rFonts w:ascii="Calibri" w:eastAsiaTheme="minorHAnsi" w:hAnsi="Calibri" w:cstheme="minorBidi"/>
      <w:sz w:val="22"/>
      <w:szCs w:val="21"/>
      <w:lang w:eastAsia="en-US"/>
    </w:rPr>
  </w:style>
  <w:style w:type="paragraph" w:customStyle="1" w:styleId="Default">
    <w:name w:val="Default"/>
    <w:basedOn w:val="Normal"/>
    <w:rsid w:val="000A1AED"/>
    <w:pPr>
      <w:autoSpaceDE w:val="0"/>
      <w:autoSpaceDN w:val="0"/>
    </w:pPr>
    <w:rPr>
      <w:rFonts w:ascii="Arial" w:eastAsiaTheme="minorHAnsi" w:hAnsi="Arial" w:cs="Arial"/>
      <w:color w:val="000000"/>
      <w:sz w:val="24"/>
      <w:szCs w:val="24"/>
      <w:lang w:val="en-GB" w:eastAsia="en-US"/>
    </w:rPr>
  </w:style>
  <w:style w:type="table" w:styleId="TableGrid">
    <w:name w:val="Table Grid"/>
    <w:basedOn w:val="TableNormal"/>
    <w:uiPriority w:val="39"/>
    <w:rsid w:val="000A1A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1AED"/>
    <w:rPr>
      <w:color w:val="0000FF" w:themeColor="hyperlink"/>
      <w:u w:val="single"/>
    </w:rPr>
  </w:style>
  <w:style w:type="paragraph" w:styleId="NoSpacing">
    <w:name w:val="No Spacing"/>
    <w:uiPriority w:val="1"/>
    <w:qFormat/>
    <w:rsid w:val="000A1AED"/>
    <w:rPr>
      <w:rFonts w:ascii="Cambria" w:eastAsiaTheme="minorEastAsia" w:hAnsi="Cambria" w:cstheme="minorBidi"/>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661025">
      <w:bodyDiv w:val="1"/>
      <w:marLeft w:val="0"/>
      <w:marRight w:val="0"/>
      <w:marTop w:val="0"/>
      <w:marBottom w:val="0"/>
      <w:divBdr>
        <w:top w:val="none" w:sz="0" w:space="0" w:color="auto"/>
        <w:left w:val="none" w:sz="0" w:space="0" w:color="auto"/>
        <w:bottom w:val="none" w:sz="0" w:space="0" w:color="auto"/>
        <w:right w:val="none" w:sz="0" w:space="0" w:color="auto"/>
      </w:divBdr>
    </w:div>
    <w:div w:id="18598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llant.org.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mgr1</dc:creator>
  <cp:lastModifiedBy>Alexander Wilkinson</cp:lastModifiedBy>
  <cp:revision>42</cp:revision>
  <cp:lastPrinted>2015-06-26T07:01:00Z</cp:lastPrinted>
  <dcterms:created xsi:type="dcterms:W3CDTF">2015-07-01T17:13:00Z</dcterms:created>
  <dcterms:modified xsi:type="dcterms:W3CDTF">2015-07-01T17:58:00Z</dcterms:modified>
</cp:coreProperties>
</file>