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40" w:rsidRPr="0072136F" w:rsidRDefault="00C87AA8" w:rsidP="00E67240">
      <w:pPr>
        <w:jc w:val="center"/>
        <w:rPr>
          <w:sz w:val="24"/>
          <w:szCs w:val="24"/>
          <w:lang w:val="en-GB"/>
        </w:rPr>
      </w:pPr>
      <w:bookmarkStart w:id="0" w:name="_GoBack"/>
      <w:bookmarkEnd w:id="0"/>
      <w:r w:rsidRPr="0072136F">
        <w:rPr>
          <w:noProof/>
          <w:sz w:val="24"/>
          <w:szCs w:val="24"/>
          <w:lang w:val="en-GB"/>
        </w:rPr>
        <w:drawing>
          <wp:inline distT="0" distB="0" distL="0" distR="0" wp14:anchorId="4B78F8F9" wp14:editId="7AF44B36">
            <wp:extent cx="1009015" cy="948690"/>
            <wp:effectExtent l="19050" t="0" r="635" b="0"/>
            <wp:docPr id="1" name="Picture 1" descr="ssfhgre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fhgrey2"/>
                    <pic:cNvPicPr>
                      <a:picLocks noChangeAspect="1" noChangeArrowheads="1"/>
                    </pic:cNvPicPr>
                  </pic:nvPicPr>
                  <pic:blipFill>
                    <a:blip r:embed="rId8" cstate="print"/>
                    <a:srcRect/>
                    <a:stretch>
                      <a:fillRect/>
                    </a:stretch>
                  </pic:blipFill>
                  <pic:spPr bwMode="auto">
                    <a:xfrm>
                      <a:off x="0" y="0"/>
                      <a:ext cx="1009015" cy="948690"/>
                    </a:xfrm>
                    <a:prstGeom prst="rect">
                      <a:avLst/>
                    </a:prstGeom>
                    <a:noFill/>
                    <a:ln w="9525">
                      <a:noFill/>
                      <a:miter lim="800000"/>
                      <a:headEnd/>
                      <a:tailEnd/>
                    </a:ln>
                  </pic:spPr>
                </pic:pic>
              </a:graphicData>
            </a:graphic>
          </wp:inline>
        </w:drawing>
      </w:r>
    </w:p>
    <w:p w:rsidR="00E67240" w:rsidRPr="0072136F" w:rsidRDefault="00E67240" w:rsidP="00E67240">
      <w:pPr>
        <w:pStyle w:val="Caption"/>
        <w:rPr>
          <w:rFonts w:ascii="Times New Roman" w:hAnsi="Times New Roman"/>
          <w:sz w:val="24"/>
          <w:szCs w:val="24"/>
          <w:lang w:val="en-GB"/>
        </w:rPr>
      </w:pPr>
      <w:r w:rsidRPr="0072136F">
        <w:rPr>
          <w:rFonts w:ascii="Times New Roman" w:hAnsi="Times New Roman"/>
          <w:sz w:val="24"/>
          <w:szCs w:val="24"/>
          <w:lang w:val="en-GB"/>
        </w:rPr>
        <w:t>The Society for the Study of French History</w:t>
      </w:r>
    </w:p>
    <w:p w:rsidR="001E33F1" w:rsidRPr="00B56894" w:rsidRDefault="006249C5" w:rsidP="001E33F1">
      <w:pPr>
        <w:shd w:val="clear" w:color="auto" w:fill="FFFFFF"/>
        <w:jc w:val="center"/>
        <w:rPr>
          <w:rFonts w:ascii="Calibri" w:hAnsi="Calibri"/>
          <w:color w:val="1F497D"/>
        </w:rPr>
      </w:pPr>
      <w:hyperlink r:id="rId9" w:history="1">
        <w:r w:rsidR="001E33F1" w:rsidRPr="00B56894">
          <w:rPr>
            <w:rStyle w:val="Hyperlink"/>
            <w:rFonts w:ascii="Calibri" w:hAnsi="Calibri"/>
          </w:rPr>
          <w:t>http://frenchhistorysociety.co.uk/</w:t>
        </w:r>
      </w:hyperlink>
    </w:p>
    <w:p w:rsidR="001E33F1" w:rsidRPr="00B56894" w:rsidRDefault="006249C5" w:rsidP="001E33F1">
      <w:pPr>
        <w:shd w:val="clear" w:color="auto" w:fill="FFFFFF"/>
        <w:jc w:val="center"/>
        <w:rPr>
          <w:rFonts w:ascii="Calibri" w:hAnsi="Calibri"/>
          <w:color w:val="1F497D"/>
        </w:rPr>
      </w:pPr>
      <w:hyperlink r:id="rId10" w:history="1">
        <w:r w:rsidR="001E33F1" w:rsidRPr="00B56894">
          <w:rPr>
            <w:rStyle w:val="Hyperlink"/>
            <w:rFonts w:ascii="Calibri" w:hAnsi="Calibri"/>
          </w:rPr>
          <w:t>https://</w:t>
        </w:r>
        <w:r w:rsidR="001E33F1" w:rsidRPr="00B56894">
          <w:rPr>
            <w:rStyle w:val="Hyperlink"/>
            <w:rFonts w:ascii="Calibri" w:hAnsi="Calibri"/>
            <w:bCs/>
          </w:rPr>
          <w:t>twitter</w:t>
        </w:r>
        <w:r w:rsidR="001E33F1" w:rsidRPr="00B56894">
          <w:rPr>
            <w:rStyle w:val="Hyperlink"/>
            <w:rFonts w:ascii="Calibri" w:hAnsi="Calibri"/>
          </w:rPr>
          <w:t>.com/</w:t>
        </w:r>
        <w:r w:rsidR="001E33F1" w:rsidRPr="00B56894">
          <w:rPr>
            <w:rStyle w:val="Hyperlink"/>
            <w:rFonts w:ascii="Calibri" w:hAnsi="Calibri"/>
            <w:bCs/>
          </w:rPr>
          <w:t>FrenchHistory</w:t>
        </w:r>
        <w:r w:rsidR="001E33F1" w:rsidRPr="00B56894">
          <w:rPr>
            <w:rStyle w:val="Hyperlink"/>
            <w:rFonts w:ascii="Calibri" w:hAnsi="Calibri"/>
          </w:rPr>
          <w:t>UK</w:t>
        </w:r>
      </w:hyperlink>
    </w:p>
    <w:p w:rsidR="00E67240" w:rsidRPr="001E33F1" w:rsidRDefault="00E67240" w:rsidP="00E67240">
      <w:pPr>
        <w:rPr>
          <w:sz w:val="24"/>
          <w:szCs w:val="24"/>
        </w:rPr>
      </w:pPr>
    </w:p>
    <w:p w:rsidR="00E71711" w:rsidRPr="0072136F" w:rsidRDefault="008829CE" w:rsidP="00E71711">
      <w:pPr>
        <w:jc w:val="center"/>
        <w:rPr>
          <w:b/>
          <w:sz w:val="24"/>
          <w:szCs w:val="24"/>
          <w:lang w:val="en-GB"/>
        </w:rPr>
      </w:pPr>
      <w:r w:rsidRPr="0072136F">
        <w:rPr>
          <w:b/>
          <w:sz w:val="24"/>
          <w:szCs w:val="24"/>
          <w:lang w:val="en-GB"/>
        </w:rPr>
        <w:t xml:space="preserve">Minutes of the </w:t>
      </w:r>
      <w:r w:rsidR="00FB612E" w:rsidRPr="0072136F">
        <w:rPr>
          <w:b/>
          <w:sz w:val="24"/>
          <w:szCs w:val="24"/>
          <w:lang w:val="en-GB"/>
        </w:rPr>
        <w:t>Meeting of the SSFH Committee,</w:t>
      </w:r>
    </w:p>
    <w:p w:rsidR="0090153C" w:rsidRPr="0072136F" w:rsidRDefault="00FB612E" w:rsidP="00E71711">
      <w:pPr>
        <w:jc w:val="center"/>
        <w:rPr>
          <w:b/>
          <w:sz w:val="24"/>
          <w:szCs w:val="24"/>
          <w:lang w:val="en-GB"/>
        </w:rPr>
      </w:pPr>
      <w:r w:rsidRPr="0072136F">
        <w:rPr>
          <w:b/>
          <w:sz w:val="24"/>
          <w:szCs w:val="24"/>
          <w:lang w:val="en-GB"/>
        </w:rPr>
        <w:t xml:space="preserve"> </w:t>
      </w:r>
      <w:r w:rsidR="00E71711" w:rsidRPr="0072136F">
        <w:rPr>
          <w:b/>
          <w:sz w:val="24"/>
          <w:szCs w:val="24"/>
          <w:lang w:val="en-GB"/>
        </w:rPr>
        <w:t xml:space="preserve">Lower Mezzanine Meeting Room, </w:t>
      </w:r>
      <w:r w:rsidRPr="0072136F">
        <w:rPr>
          <w:b/>
          <w:sz w:val="24"/>
          <w:szCs w:val="24"/>
          <w:lang w:val="en-GB"/>
        </w:rPr>
        <w:t>Senate House, London</w:t>
      </w:r>
    </w:p>
    <w:p w:rsidR="00E67240" w:rsidRPr="0072136F" w:rsidRDefault="00FB612E" w:rsidP="0090153C">
      <w:pPr>
        <w:jc w:val="center"/>
        <w:rPr>
          <w:b/>
          <w:sz w:val="24"/>
          <w:szCs w:val="24"/>
          <w:lang w:val="en-GB"/>
        </w:rPr>
      </w:pPr>
      <w:r w:rsidRPr="0072136F">
        <w:rPr>
          <w:b/>
          <w:sz w:val="24"/>
          <w:szCs w:val="24"/>
          <w:lang w:val="en-GB"/>
        </w:rPr>
        <w:t>Wednesday 15 January 2014</w:t>
      </w:r>
    </w:p>
    <w:p w:rsidR="00E71711" w:rsidRPr="0072136F" w:rsidRDefault="00E71711" w:rsidP="0090153C">
      <w:pPr>
        <w:jc w:val="center"/>
        <w:rPr>
          <w:b/>
          <w:sz w:val="24"/>
          <w:szCs w:val="24"/>
          <w:lang w:val="en-GB"/>
        </w:rPr>
      </w:pPr>
      <w:r w:rsidRPr="0072136F">
        <w:rPr>
          <w:b/>
          <w:sz w:val="24"/>
          <w:szCs w:val="24"/>
          <w:lang w:val="en-GB"/>
        </w:rPr>
        <w:t>2.00 p.m.</w:t>
      </w:r>
    </w:p>
    <w:p w:rsidR="00E67240" w:rsidRPr="0072136F" w:rsidRDefault="00E67240" w:rsidP="00E67240">
      <w:pPr>
        <w:jc w:val="center"/>
        <w:rPr>
          <w:b/>
          <w:sz w:val="24"/>
          <w:szCs w:val="24"/>
          <w:lang w:val="en-GB"/>
        </w:rPr>
      </w:pPr>
    </w:p>
    <w:p w:rsidR="001A2B4E" w:rsidRPr="0072136F" w:rsidRDefault="008829CE" w:rsidP="00E67240">
      <w:pPr>
        <w:rPr>
          <w:sz w:val="24"/>
          <w:szCs w:val="24"/>
          <w:lang w:val="en-GB"/>
        </w:rPr>
      </w:pPr>
      <w:r w:rsidRPr="0072136F">
        <w:rPr>
          <w:b/>
          <w:sz w:val="24"/>
          <w:szCs w:val="24"/>
          <w:lang w:val="en-GB"/>
        </w:rPr>
        <w:t xml:space="preserve">Present: </w:t>
      </w:r>
      <w:r w:rsidRPr="0072136F">
        <w:rPr>
          <w:sz w:val="24"/>
          <w:szCs w:val="24"/>
          <w:lang w:val="en-GB"/>
        </w:rPr>
        <w:t>Malcolm Crook</w:t>
      </w:r>
      <w:r w:rsidR="00A563AA" w:rsidRPr="0072136F">
        <w:rPr>
          <w:sz w:val="24"/>
          <w:szCs w:val="24"/>
          <w:lang w:val="en-GB"/>
        </w:rPr>
        <w:t xml:space="preserve"> (Chair)</w:t>
      </w:r>
      <w:r w:rsidRPr="0072136F">
        <w:rPr>
          <w:sz w:val="24"/>
          <w:szCs w:val="24"/>
          <w:lang w:val="en-GB"/>
        </w:rPr>
        <w:t>, Sandy Wilkinson, Jessica Ward</w:t>
      </w:r>
      <w:r w:rsidR="006872D2">
        <w:rPr>
          <w:sz w:val="24"/>
          <w:szCs w:val="24"/>
          <w:lang w:val="en-GB"/>
        </w:rPr>
        <w:t>h</w:t>
      </w:r>
      <w:r w:rsidRPr="0072136F">
        <w:rPr>
          <w:sz w:val="24"/>
          <w:szCs w:val="24"/>
          <w:lang w:val="en-GB"/>
        </w:rPr>
        <w:t xml:space="preserve">augh, Lori Oates, Ellen Crabtree, Mark Greengrass, Joe Bergin, Julian Wright, Dan Power, John Strachan, Penny Roberts, Noelle Plack, Chris Warne, Andrew Smith, Tim Baycroft, Stephen Tyre, Joanna Warson, Karine Varley, and Pamela Pilbeam.  </w:t>
      </w:r>
    </w:p>
    <w:p w:rsidR="008829CE" w:rsidRPr="0072136F" w:rsidRDefault="008829CE" w:rsidP="00E67240">
      <w:pPr>
        <w:rPr>
          <w:b/>
          <w:sz w:val="24"/>
          <w:szCs w:val="24"/>
          <w:lang w:val="en-GB"/>
        </w:rPr>
      </w:pPr>
    </w:p>
    <w:p w:rsidR="008C49FF" w:rsidRPr="0072136F" w:rsidRDefault="002E1243" w:rsidP="00D7005B">
      <w:pPr>
        <w:numPr>
          <w:ilvl w:val="0"/>
          <w:numId w:val="1"/>
        </w:numPr>
        <w:rPr>
          <w:sz w:val="24"/>
          <w:szCs w:val="24"/>
          <w:lang w:val="en-GB"/>
        </w:rPr>
      </w:pPr>
      <w:r w:rsidRPr="0072136F">
        <w:rPr>
          <w:sz w:val="24"/>
          <w:szCs w:val="24"/>
          <w:lang w:val="en-GB"/>
        </w:rPr>
        <w:t>Apologies for absence</w:t>
      </w:r>
    </w:p>
    <w:p w:rsidR="008829CE" w:rsidRPr="0072136F" w:rsidRDefault="008829CE" w:rsidP="008829CE">
      <w:pPr>
        <w:ind w:left="720"/>
        <w:rPr>
          <w:sz w:val="24"/>
          <w:szCs w:val="24"/>
          <w:lang w:val="en-GB"/>
        </w:rPr>
      </w:pPr>
    </w:p>
    <w:p w:rsidR="008829CE" w:rsidRPr="0072136F" w:rsidRDefault="008829CE" w:rsidP="008829CE">
      <w:pPr>
        <w:ind w:left="720"/>
        <w:rPr>
          <w:sz w:val="24"/>
          <w:szCs w:val="24"/>
          <w:lang w:val="en-GB"/>
        </w:rPr>
      </w:pPr>
      <w:r w:rsidRPr="0072136F">
        <w:rPr>
          <w:sz w:val="24"/>
          <w:szCs w:val="24"/>
          <w:lang w:val="en-GB"/>
        </w:rPr>
        <w:t>Apologies were received from Linda Briggs, Robin Briggs and Joseph Clarke.</w:t>
      </w:r>
    </w:p>
    <w:p w:rsidR="008C49FF" w:rsidRPr="0072136F" w:rsidRDefault="008C49FF" w:rsidP="00D7005B">
      <w:pPr>
        <w:rPr>
          <w:sz w:val="24"/>
          <w:szCs w:val="24"/>
          <w:lang w:val="en-GB"/>
        </w:rPr>
      </w:pPr>
    </w:p>
    <w:p w:rsidR="00D001F0" w:rsidRPr="0072136F" w:rsidRDefault="002E1243" w:rsidP="008C49FF">
      <w:pPr>
        <w:numPr>
          <w:ilvl w:val="0"/>
          <w:numId w:val="1"/>
        </w:numPr>
        <w:rPr>
          <w:sz w:val="24"/>
          <w:szCs w:val="24"/>
          <w:lang w:val="en-GB"/>
        </w:rPr>
      </w:pPr>
      <w:r w:rsidRPr="0072136F">
        <w:rPr>
          <w:sz w:val="24"/>
          <w:szCs w:val="24"/>
          <w:lang w:val="en-GB"/>
        </w:rPr>
        <w:t>Minutes of previous committee meetin</w:t>
      </w:r>
      <w:r w:rsidR="00667731" w:rsidRPr="0072136F">
        <w:rPr>
          <w:sz w:val="24"/>
          <w:szCs w:val="24"/>
          <w:lang w:val="en-GB"/>
        </w:rPr>
        <w:t>g</w:t>
      </w:r>
    </w:p>
    <w:p w:rsidR="008C49FF" w:rsidRPr="0072136F" w:rsidRDefault="008C49FF" w:rsidP="00D7005B">
      <w:pPr>
        <w:ind w:left="720"/>
        <w:rPr>
          <w:sz w:val="24"/>
          <w:szCs w:val="24"/>
          <w:lang w:val="en-GB"/>
        </w:rPr>
      </w:pPr>
    </w:p>
    <w:p w:rsidR="00600596" w:rsidRPr="0072136F" w:rsidRDefault="00600596" w:rsidP="00D7005B">
      <w:pPr>
        <w:ind w:left="720"/>
        <w:rPr>
          <w:sz w:val="24"/>
          <w:szCs w:val="24"/>
          <w:lang w:val="en-GB"/>
        </w:rPr>
      </w:pPr>
      <w:r w:rsidRPr="0072136F">
        <w:rPr>
          <w:sz w:val="24"/>
          <w:szCs w:val="24"/>
          <w:lang w:val="en-GB"/>
        </w:rPr>
        <w:t>The minutes of 30 June 2013 were approved by the committee.</w:t>
      </w:r>
    </w:p>
    <w:p w:rsidR="00600596" w:rsidRPr="0072136F" w:rsidRDefault="00600596" w:rsidP="00D7005B">
      <w:pPr>
        <w:ind w:left="720"/>
        <w:rPr>
          <w:sz w:val="24"/>
          <w:szCs w:val="24"/>
          <w:lang w:val="en-GB"/>
        </w:rPr>
      </w:pPr>
    </w:p>
    <w:p w:rsidR="00D81B64" w:rsidRPr="0072136F" w:rsidRDefault="002E1243" w:rsidP="00DC1898">
      <w:pPr>
        <w:numPr>
          <w:ilvl w:val="0"/>
          <w:numId w:val="1"/>
        </w:numPr>
        <w:rPr>
          <w:sz w:val="24"/>
          <w:szCs w:val="24"/>
          <w:lang w:val="en-GB"/>
        </w:rPr>
      </w:pPr>
      <w:r w:rsidRPr="0072136F">
        <w:rPr>
          <w:sz w:val="24"/>
          <w:szCs w:val="24"/>
          <w:lang w:val="en-GB"/>
        </w:rPr>
        <w:t>Matters arising</w:t>
      </w:r>
    </w:p>
    <w:p w:rsidR="00600596" w:rsidRPr="0072136F" w:rsidRDefault="00600596" w:rsidP="00600596">
      <w:pPr>
        <w:ind w:left="720"/>
        <w:rPr>
          <w:sz w:val="24"/>
          <w:szCs w:val="24"/>
          <w:lang w:val="en-GB"/>
        </w:rPr>
      </w:pPr>
    </w:p>
    <w:p w:rsidR="00600596" w:rsidRPr="0072136F" w:rsidRDefault="00600596" w:rsidP="00600596">
      <w:pPr>
        <w:ind w:left="720"/>
        <w:rPr>
          <w:sz w:val="24"/>
          <w:szCs w:val="24"/>
          <w:lang w:val="en-GB"/>
        </w:rPr>
      </w:pPr>
      <w:r w:rsidRPr="0072136F">
        <w:rPr>
          <w:sz w:val="24"/>
          <w:szCs w:val="24"/>
          <w:lang w:val="en-GB"/>
        </w:rPr>
        <w:t>The President, Malcolm Crook</w:t>
      </w:r>
      <w:r w:rsidR="005B5121" w:rsidRPr="0072136F">
        <w:rPr>
          <w:sz w:val="24"/>
          <w:szCs w:val="24"/>
          <w:lang w:val="en-GB"/>
        </w:rPr>
        <w:t xml:space="preserve"> (MC)</w:t>
      </w:r>
      <w:r w:rsidRPr="0072136F">
        <w:rPr>
          <w:sz w:val="24"/>
          <w:szCs w:val="24"/>
          <w:lang w:val="en-GB"/>
        </w:rPr>
        <w:t xml:space="preserve">, reported that we should </w:t>
      </w:r>
      <w:r w:rsidR="005A4AB8">
        <w:rPr>
          <w:sz w:val="24"/>
          <w:szCs w:val="24"/>
          <w:lang w:val="en-GB"/>
        </w:rPr>
        <w:t>follow up with Alison Carroll</w:t>
      </w:r>
      <w:r w:rsidRPr="0072136F">
        <w:rPr>
          <w:sz w:val="24"/>
          <w:szCs w:val="24"/>
          <w:lang w:val="en-GB"/>
        </w:rPr>
        <w:t xml:space="preserve"> regarding the Society’s agreed annual support to the IHR French History Seminar </w:t>
      </w:r>
      <w:r w:rsidR="005A4AB8">
        <w:rPr>
          <w:sz w:val="24"/>
          <w:szCs w:val="24"/>
          <w:lang w:val="en-GB"/>
        </w:rPr>
        <w:t xml:space="preserve">- </w:t>
      </w:r>
      <w:r w:rsidRPr="0072136F">
        <w:rPr>
          <w:sz w:val="24"/>
          <w:szCs w:val="24"/>
          <w:lang w:val="en-GB"/>
        </w:rPr>
        <w:t xml:space="preserve">subject to the conditions set out in the minutes of 30 June.  Sandy Wilkinson </w:t>
      </w:r>
      <w:r w:rsidR="0072136F" w:rsidRPr="0072136F">
        <w:rPr>
          <w:sz w:val="24"/>
          <w:szCs w:val="24"/>
          <w:lang w:val="en-GB"/>
        </w:rPr>
        <w:t xml:space="preserve">(SW) </w:t>
      </w:r>
      <w:r w:rsidRPr="0072136F">
        <w:rPr>
          <w:sz w:val="24"/>
          <w:szCs w:val="24"/>
          <w:lang w:val="en-GB"/>
        </w:rPr>
        <w:t xml:space="preserve">agreed to follow this up.  </w:t>
      </w:r>
    </w:p>
    <w:p w:rsidR="00DC1898" w:rsidRPr="0072136F" w:rsidRDefault="00DC1898" w:rsidP="00DC1898">
      <w:pPr>
        <w:rPr>
          <w:sz w:val="24"/>
          <w:szCs w:val="24"/>
          <w:lang w:val="en-GB"/>
        </w:rPr>
      </w:pPr>
    </w:p>
    <w:p w:rsidR="00DF5CD4" w:rsidRPr="0072136F" w:rsidRDefault="00667731" w:rsidP="00DF5CD4">
      <w:pPr>
        <w:numPr>
          <w:ilvl w:val="0"/>
          <w:numId w:val="1"/>
        </w:numPr>
        <w:rPr>
          <w:sz w:val="24"/>
          <w:szCs w:val="24"/>
          <w:lang w:val="en-GB"/>
        </w:rPr>
      </w:pPr>
      <w:r w:rsidRPr="0072136F">
        <w:rPr>
          <w:sz w:val="24"/>
          <w:szCs w:val="24"/>
          <w:lang w:val="en-GB"/>
        </w:rPr>
        <w:t xml:space="preserve">Report from the Secretary </w:t>
      </w:r>
    </w:p>
    <w:p w:rsidR="00600596" w:rsidRPr="0072136F" w:rsidRDefault="00600596" w:rsidP="00600596">
      <w:pPr>
        <w:ind w:left="720"/>
        <w:rPr>
          <w:sz w:val="24"/>
          <w:szCs w:val="24"/>
          <w:lang w:val="en-GB"/>
        </w:rPr>
      </w:pPr>
    </w:p>
    <w:p w:rsidR="005B5121" w:rsidRPr="0072136F" w:rsidRDefault="0072136F" w:rsidP="00600596">
      <w:pPr>
        <w:ind w:left="720"/>
        <w:rPr>
          <w:sz w:val="24"/>
          <w:szCs w:val="24"/>
        </w:rPr>
      </w:pPr>
      <w:r w:rsidRPr="0072136F">
        <w:rPr>
          <w:sz w:val="24"/>
          <w:szCs w:val="24"/>
          <w:lang w:val="en-GB"/>
        </w:rPr>
        <w:t>SW</w:t>
      </w:r>
      <w:r w:rsidR="005B5121" w:rsidRPr="0072136F">
        <w:rPr>
          <w:sz w:val="24"/>
          <w:szCs w:val="24"/>
          <w:lang w:val="en-GB"/>
        </w:rPr>
        <w:t xml:space="preserve"> </w:t>
      </w:r>
      <w:r w:rsidR="00600596" w:rsidRPr="0072136F">
        <w:rPr>
          <w:sz w:val="24"/>
          <w:szCs w:val="24"/>
          <w:lang w:val="en-GB"/>
        </w:rPr>
        <w:t xml:space="preserve">reported on the </w:t>
      </w:r>
      <w:r w:rsidR="00C35229" w:rsidRPr="0072136F">
        <w:rPr>
          <w:sz w:val="24"/>
          <w:szCs w:val="24"/>
          <w:lang w:val="en-GB"/>
        </w:rPr>
        <w:t xml:space="preserve">deadlines for upcoming funding schemes for the Society and asked that the committee do their best to encourage applications.   The deadline for the Research Grant Scheme is </w:t>
      </w:r>
      <w:r w:rsidR="00C35229" w:rsidRPr="0072136F">
        <w:rPr>
          <w:sz w:val="24"/>
          <w:szCs w:val="24"/>
        </w:rPr>
        <w:t xml:space="preserve">Friday 28th March 2014.  The deadline for the Ralph Gibson Bursary scheme is 30 April 2014.  </w:t>
      </w:r>
      <w:r w:rsidR="005B5121" w:rsidRPr="0072136F">
        <w:rPr>
          <w:sz w:val="24"/>
          <w:szCs w:val="24"/>
        </w:rPr>
        <w:t xml:space="preserve">The deadline for nominations for the undergraduate dissertation prize is 28 July 2014.  </w:t>
      </w:r>
    </w:p>
    <w:p w:rsidR="005B5121" w:rsidRPr="0072136F" w:rsidRDefault="005B5121" w:rsidP="00600596">
      <w:pPr>
        <w:ind w:left="720"/>
        <w:rPr>
          <w:sz w:val="24"/>
          <w:szCs w:val="24"/>
        </w:rPr>
      </w:pPr>
    </w:p>
    <w:p w:rsidR="00600596" w:rsidRPr="0072136F" w:rsidRDefault="005B5121" w:rsidP="00600596">
      <w:pPr>
        <w:ind w:left="720"/>
        <w:rPr>
          <w:sz w:val="24"/>
          <w:szCs w:val="24"/>
          <w:lang w:val="en-GB"/>
        </w:rPr>
      </w:pPr>
      <w:r w:rsidRPr="0072136F">
        <w:rPr>
          <w:sz w:val="24"/>
          <w:szCs w:val="24"/>
        </w:rPr>
        <w:t xml:space="preserve">SW also reported on the </w:t>
      </w:r>
      <w:r w:rsidR="00600596" w:rsidRPr="0072136F">
        <w:rPr>
          <w:sz w:val="24"/>
          <w:szCs w:val="24"/>
          <w:lang w:val="en-GB"/>
        </w:rPr>
        <w:t xml:space="preserve">number of awards made by the Society since October 2012 [Appendix I] and suggested that these be given greater visibility on the website. </w:t>
      </w:r>
      <w:r w:rsidR="008D65C0" w:rsidRPr="0072136F">
        <w:rPr>
          <w:sz w:val="24"/>
          <w:szCs w:val="24"/>
          <w:lang w:val="en-GB"/>
        </w:rPr>
        <w:t xml:space="preserve"> The amounts awarded would not be published. </w:t>
      </w:r>
    </w:p>
    <w:p w:rsidR="005B5121" w:rsidRPr="0072136F" w:rsidRDefault="005B5121" w:rsidP="00600596">
      <w:pPr>
        <w:ind w:left="720"/>
        <w:rPr>
          <w:sz w:val="24"/>
          <w:szCs w:val="24"/>
          <w:lang w:val="en-GB"/>
        </w:rPr>
      </w:pPr>
    </w:p>
    <w:p w:rsidR="005B5121" w:rsidRPr="0072136F" w:rsidRDefault="005B5121" w:rsidP="00600596">
      <w:pPr>
        <w:ind w:left="720"/>
        <w:rPr>
          <w:sz w:val="24"/>
          <w:szCs w:val="24"/>
        </w:rPr>
      </w:pPr>
      <w:r w:rsidRPr="0072136F">
        <w:rPr>
          <w:sz w:val="24"/>
          <w:szCs w:val="24"/>
          <w:lang w:val="en-GB"/>
        </w:rPr>
        <w:t xml:space="preserve">SW raised the issue of reviewing our existing funding schemes and a robust general discussion of this issue followed.   It was agreed by the committee to raise the award level for the research grant scheme from </w:t>
      </w:r>
      <w:r w:rsidRPr="0072136F">
        <w:rPr>
          <w:sz w:val="24"/>
          <w:szCs w:val="24"/>
        </w:rPr>
        <w:t xml:space="preserve">£750 </w:t>
      </w:r>
      <w:r w:rsidRPr="0072136F">
        <w:rPr>
          <w:sz w:val="24"/>
          <w:szCs w:val="24"/>
          <w:lang w:val="en-GB"/>
        </w:rPr>
        <w:t xml:space="preserve">to </w:t>
      </w:r>
      <w:r w:rsidRPr="0072136F">
        <w:rPr>
          <w:sz w:val="24"/>
          <w:szCs w:val="24"/>
        </w:rPr>
        <w:t>£</w:t>
      </w:r>
      <w:r w:rsidRPr="0072136F">
        <w:rPr>
          <w:sz w:val="24"/>
          <w:szCs w:val="24"/>
          <w:lang w:val="en-GB"/>
        </w:rPr>
        <w:t xml:space="preserve">1000 and that the Ralph Gibson award be raised from </w:t>
      </w:r>
      <w:r w:rsidRPr="0072136F">
        <w:rPr>
          <w:sz w:val="24"/>
          <w:szCs w:val="24"/>
        </w:rPr>
        <w:t xml:space="preserve">£2000 to £3000.  </w:t>
      </w:r>
    </w:p>
    <w:p w:rsidR="00400127" w:rsidRPr="0072136F" w:rsidRDefault="00400127" w:rsidP="00600596">
      <w:pPr>
        <w:ind w:left="720"/>
        <w:rPr>
          <w:sz w:val="24"/>
          <w:szCs w:val="24"/>
        </w:rPr>
      </w:pPr>
    </w:p>
    <w:p w:rsidR="00FD4ED6" w:rsidRPr="0072136F" w:rsidRDefault="00400127" w:rsidP="00600596">
      <w:pPr>
        <w:ind w:left="720"/>
        <w:rPr>
          <w:sz w:val="24"/>
          <w:szCs w:val="24"/>
        </w:rPr>
      </w:pPr>
      <w:r w:rsidRPr="0072136F">
        <w:rPr>
          <w:sz w:val="24"/>
          <w:szCs w:val="24"/>
        </w:rPr>
        <w:t>It was agreed that the terms and conditions of the Postgraduate Panel Prize be changed and that support could only be given to students registered to a</w:t>
      </w:r>
      <w:r w:rsidR="005A4AB8">
        <w:rPr>
          <w:sz w:val="24"/>
          <w:szCs w:val="24"/>
        </w:rPr>
        <w:t>n</w:t>
      </w:r>
      <w:r w:rsidRPr="0072136F">
        <w:rPr>
          <w:sz w:val="24"/>
          <w:szCs w:val="24"/>
        </w:rPr>
        <w:t xml:space="preserve"> HE institution in the UK or Ireland.  In circumstances where the panel is composed of graduate students registered outside this area, a proportion of the cost may be awarded.  </w:t>
      </w:r>
      <w:r w:rsidR="00221D68" w:rsidRPr="0072136F">
        <w:rPr>
          <w:sz w:val="24"/>
          <w:szCs w:val="24"/>
        </w:rPr>
        <w:t xml:space="preserve">In addition, the Scheme should have a deadline rather than be open for applications all year round.  </w:t>
      </w:r>
    </w:p>
    <w:p w:rsidR="00FD4ED6" w:rsidRPr="0072136F" w:rsidRDefault="00FD4ED6" w:rsidP="00600596">
      <w:pPr>
        <w:ind w:left="720"/>
        <w:rPr>
          <w:sz w:val="24"/>
          <w:szCs w:val="24"/>
        </w:rPr>
      </w:pPr>
    </w:p>
    <w:p w:rsidR="00060095" w:rsidRPr="0072136F" w:rsidRDefault="00FD4ED6" w:rsidP="00600596">
      <w:pPr>
        <w:ind w:left="720"/>
        <w:rPr>
          <w:sz w:val="24"/>
          <w:szCs w:val="24"/>
        </w:rPr>
      </w:pPr>
      <w:r w:rsidRPr="0072136F">
        <w:rPr>
          <w:sz w:val="24"/>
          <w:szCs w:val="24"/>
        </w:rPr>
        <w:t>There was a suggestion from Joe Bergin that the Society consider new ways of spending its income – perhaps subsidizing publishing projects or translation work.  Julian Wright (JW) suggested developing a new research award aimed at outstanding postgraduate students and postdoctoral researchers.  It was agreed that JW might bring plans in this area to the attention of the</w:t>
      </w:r>
      <w:r w:rsidR="00060095" w:rsidRPr="0072136F">
        <w:rPr>
          <w:sz w:val="24"/>
          <w:szCs w:val="24"/>
        </w:rPr>
        <w:t xml:space="preserve"> committee/AGM</w:t>
      </w:r>
      <w:r w:rsidRPr="0072136F">
        <w:rPr>
          <w:sz w:val="24"/>
          <w:szCs w:val="24"/>
        </w:rPr>
        <w:t xml:space="preserve"> in July 2014.</w:t>
      </w:r>
    </w:p>
    <w:p w:rsidR="00AE0B43" w:rsidRPr="0072136F" w:rsidRDefault="00AE0B43" w:rsidP="00600596">
      <w:pPr>
        <w:ind w:left="720"/>
        <w:rPr>
          <w:sz w:val="24"/>
          <w:szCs w:val="24"/>
        </w:rPr>
      </w:pPr>
    </w:p>
    <w:p w:rsidR="00AE0B43" w:rsidRPr="0072136F" w:rsidRDefault="00AE0B43" w:rsidP="00600596">
      <w:pPr>
        <w:ind w:left="720"/>
        <w:rPr>
          <w:sz w:val="24"/>
          <w:szCs w:val="24"/>
        </w:rPr>
      </w:pPr>
      <w:r w:rsidRPr="0072136F">
        <w:rPr>
          <w:sz w:val="24"/>
          <w:szCs w:val="24"/>
        </w:rPr>
        <w:t xml:space="preserve">There was some discussion of the Visiting Scholar Scheme and why it had attracted so few applications since its launch.  Mark Greengrass (MG) suggested drawing attention to the Visiting Scholar scheme in H-France and AMHUF.  Noelle Plack (NP) and Stephen Tyre (ST) suggested that it might be tied into networking opportunities which extended beyond the host institution.  It could, perhaps, be linked to the Douglas Johnson Lecture.  </w:t>
      </w:r>
    </w:p>
    <w:p w:rsidR="00060095" w:rsidRPr="0072136F" w:rsidRDefault="00060095" w:rsidP="00600596">
      <w:pPr>
        <w:ind w:left="720"/>
        <w:rPr>
          <w:sz w:val="24"/>
          <w:szCs w:val="24"/>
        </w:rPr>
      </w:pPr>
    </w:p>
    <w:p w:rsidR="00400127" w:rsidRPr="0072136F" w:rsidRDefault="00C37406" w:rsidP="00600596">
      <w:pPr>
        <w:ind w:left="720"/>
        <w:rPr>
          <w:sz w:val="24"/>
          <w:szCs w:val="24"/>
          <w:lang w:val="en-GB"/>
        </w:rPr>
      </w:pPr>
      <w:r>
        <w:rPr>
          <w:sz w:val="24"/>
          <w:szCs w:val="24"/>
        </w:rPr>
        <w:t>Jessica Ward</w:t>
      </w:r>
      <w:r w:rsidR="007554F1">
        <w:rPr>
          <w:sz w:val="24"/>
          <w:szCs w:val="24"/>
        </w:rPr>
        <w:t>h</w:t>
      </w:r>
      <w:r>
        <w:rPr>
          <w:sz w:val="24"/>
          <w:szCs w:val="24"/>
        </w:rPr>
        <w:t>augh</w:t>
      </w:r>
      <w:r w:rsidR="00060095" w:rsidRPr="0072136F">
        <w:rPr>
          <w:sz w:val="24"/>
          <w:szCs w:val="24"/>
        </w:rPr>
        <w:t xml:space="preserve"> and Stephen Tyre (ST)</w:t>
      </w:r>
      <w:r w:rsidR="00EF3813" w:rsidRPr="0072136F">
        <w:rPr>
          <w:sz w:val="24"/>
          <w:szCs w:val="24"/>
        </w:rPr>
        <w:t xml:space="preserve"> raised the issue of advertising and marketing the</w:t>
      </w:r>
      <w:r w:rsidR="00207165" w:rsidRPr="0072136F">
        <w:rPr>
          <w:sz w:val="24"/>
          <w:szCs w:val="24"/>
        </w:rPr>
        <w:t xml:space="preserve"> Society’s</w:t>
      </w:r>
      <w:r w:rsidR="00EF3813" w:rsidRPr="0072136F">
        <w:rPr>
          <w:sz w:val="24"/>
          <w:szCs w:val="24"/>
        </w:rPr>
        <w:t xml:space="preserve"> schemes</w:t>
      </w:r>
      <w:r w:rsidR="00AE0B43" w:rsidRPr="0072136F">
        <w:rPr>
          <w:sz w:val="24"/>
          <w:szCs w:val="24"/>
        </w:rPr>
        <w:t xml:space="preserve"> more broadly</w:t>
      </w:r>
      <w:r w:rsidR="00EF3813" w:rsidRPr="0072136F">
        <w:rPr>
          <w:sz w:val="24"/>
          <w:szCs w:val="24"/>
        </w:rPr>
        <w:t>.  It was agreed that the Society would use social networking in this area in addition to its existing mechanisms of draw</w:t>
      </w:r>
      <w:r w:rsidR="0099737E">
        <w:rPr>
          <w:sz w:val="24"/>
          <w:szCs w:val="24"/>
        </w:rPr>
        <w:t>ing on its membership to public</w:t>
      </w:r>
      <w:r w:rsidR="00EF3813" w:rsidRPr="0072136F">
        <w:rPr>
          <w:sz w:val="24"/>
          <w:szCs w:val="24"/>
        </w:rPr>
        <w:t xml:space="preserve">se schemes and ensuring that the </w:t>
      </w:r>
      <w:r w:rsidR="0099737E">
        <w:rPr>
          <w:sz w:val="24"/>
          <w:szCs w:val="24"/>
        </w:rPr>
        <w:t>s</w:t>
      </w:r>
      <w:r w:rsidR="00EF3813" w:rsidRPr="0072136F">
        <w:rPr>
          <w:sz w:val="24"/>
          <w:szCs w:val="24"/>
        </w:rPr>
        <w:t xml:space="preserve">chemes were available in the standard </w:t>
      </w:r>
      <w:r w:rsidR="005D5CA4" w:rsidRPr="0072136F">
        <w:rPr>
          <w:sz w:val="24"/>
          <w:szCs w:val="24"/>
        </w:rPr>
        <w:t xml:space="preserve">forums – e.g. ResearchProfessional.com </w:t>
      </w:r>
      <w:r w:rsidR="00060095" w:rsidRPr="0072136F">
        <w:rPr>
          <w:sz w:val="24"/>
          <w:szCs w:val="24"/>
        </w:rPr>
        <w:t xml:space="preserve"> </w:t>
      </w:r>
      <w:r w:rsidR="00FD4ED6" w:rsidRPr="0072136F">
        <w:rPr>
          <w:sz w:val="24"/>
          <w:szCs w:val="24"/>
        </w:rPr>
        <w:t xml:space="preserve">  </w:t>
      </w:r>
    </w:p>
    <w:p w:rsidR="00FB612E" w:rsidRPr="0072136F" w:rsidRDefault="00FB612E" w:rsidP="001948CE">
      <w:pPr>
        <w:rPr>
          <w:sz w:val="24"/>
          <w:szCs w:val="24"/>
          <w:lang w:val="en-GB"/>
        </w:rPr>
      </w:pPr>
    </w:p>
    <w:p w:rsidR="00FB612E" w:rsidRPr="0072136F" w:rsidRDefault="002E1243" w:rsidP="00FB612E">
      <w:pPr>
        <w:numPr>
          <w:ilvl w:val="0"/>
          <w:numId w:val="1"/>
        </w:numPr>
        <w:rPr>
          <w:sz w:val="24"/>
          <w:szCs w:val="24"/>
          <w:lang w:val="en-GB"/>
        </w:rPr>
      </w:pPr>
      <w:r w:rsidRPr="0072136F">
        <w:rPr>
          <w:sz w:val="24"/>
          <w:szCs w:val="24"/>
          <w:lang w:val="en-GB"/>
        </w:rPr>
        <w:t xml:space="preserve">Report from the Treasurer </w:t>
      </w:r>
    </w:p>
    <w:p w:rsidR="00FB612E" w:rsidRPr="0072136F" w:rsidRDefault="00FB612E" w:rsidP="00FB612E">
      <w:pPr>
        <w:pStyle w:val="ListParagraph"/>
        <w:rPr>
          <w:sz w:val="24"/>
          <w:szCs w:val="24"/>
          <w:lang w:val="en-GB"/>
        </w:rPr>
      </w:pPr>
    </w:p>
    <w:p w:rsidR="000A58BA" w:rsidRPr="0072136F" w:rsidRDefault="009122F5" w:rsidP="00FB612E">
      <w:pPr>
        <w:pStyle w:val="ListParagraph"/>
        <w:rPr>
          <w:sz w:val="24"/>
          <w:szCs w:val="24"/>
          <w:lang w:val="en-GB"/>
        </w:rPr>
      </w:pPr>
      <w:r w:rsidRPr="0072136F">
        <w:rPr>
          <w:sz w:val="24"/>
          <w:szCs w:val="24"/>
          <w:lang w:val="en-GB"/>
        </w:rPr>
        <w:t xml:space="preserve">Chris Warne, the Society’s Treasurer, submitted a statement of the Society’s  accounts revealing that we are in robust financial health.  </w:t>
      </w:r>
      <w:r w:rsidR="005449D1" w:rsidRPr="0072136F">
        <w:rPr>
          <w:sz w:val="24"/>
          <w:szCs w:val="24"/>
          <w:lang w:val="en-GB"/>
        </w:rPr>
        <w:t xml:space="preserve">These appear under </w:t>
      </w:r>
      <w:r w:rsidR="0046751D" w:rsidRPr="0072136F">
        <w:rPr>
          <w:sz w:val="24"/>
          <w:szCs w:val="24"/>
          <w:lang w:val="en-GB"/>
        </w:rPr>
        <w:t>Appendix II.</w:t>
      </w:r>
    </w:p>
    <w:p w:rsidR="009122F5" w:rsidRPr="0072136F" w:rsidRDefault="009122F5" w:rsidP="00FB612E">
      <w:pPr>
        <w:pStyle w:val="ListParagraph"/>
        <w:rPr>
          <w:sz w:val="24"/>
          <w:szCs w:val="24"/>
          <w:lang w:val="en-GB"/>
        </w:rPr>
      </w:pPr>
    </w:p>
    <w:p w:rsidR="00FB612E" w:rsidRPr="0072136F" w:rsidRDefault="00FB612E" w:rsidP="00FB612E">
      <w:pPr>
        <w:numPr>
          <w:ilvl w:val="0"/>
          <w:numId w:val="1"/>
        </w:numPr>
        <w:rPr>
          <w:sz w:val="24"/>
          <w:szCs w:val="24"/>
          <w:lang w:val="en-GB"/>
        </w:rPr>
      </w:pPr>
      <w:r w:rsidRPr="0072136F">
        <w:rPr>
          <w:sz w:val="24"/>
          <w:szCs w:val="24"/>
          <w:lang w:val="en-GB"/>
        </w:rPr>
        <w:t>SSFH Grant Scheme Expenditure</w:t>
      </w:r>
    </w:p>
    <w:p w:rsidR="00A27902" w:rsidRPr="0072136F" w:rsidRDefault="00A27902" w:rsidP="00A27902">
      <w:pPr>
        <w:rPr>
          <w:sz w:val="24"/>
          <w:szCs w:val="24"/>
          <w:lang w:val="en-GB"/>
        </w:rPr>
      </w:pPr>
    </w:p>
    <w:p w:rsidR="000A58BA" w:rsidRPr="0072136F" w:rsidRDefault="000A58BA" w:rsidP="00A27902">
      <w:pPr>
        <w:rPr>
          <w:sz w:val="24"/>
          <w:szCs w:val="24"/>
          <w:lang w:val="en-GB"/>
        </w:rPr>
      </w:pPr>
      <w:r w:rsidRPr="0072136F">
        <w:rPr>
          <w:sz w:val="24"/>
          <w:szCs w:val="24"/>
          <w:lang w:val="en-GB"/>
        </w:rPr>
        <w:t xml:space="preserve">Taken under section 4 above. </w:t>
      </w:r>
    </w:p>
    <w:p w:rsidR="000A58BA" w:rsidRPr="0072136F" w:rsidRDefault="000A58BA" w:rsidP="00A27902">
      <w:pPr>
        <w:rPr>
          <w:sz w:val="24"/>
          <w:szCs w:val="24"/>
          <w:lang w:val="en-GB"/>
        </w:rPr>
      </w:pPr>
    </w:p>
    <w:p w:rsidR="002E1243" w:rsidRPr="0072136F" w:rsidRDefault="00667731" w:rsidP="002E1243">
      <w:pPr>
        <w:numPr>
          <w:ilvl w:val="0"/>
          <w:numId w:val="1"/>
        </w:numPr>
        <w:rPr>
          <w:sz w:val="24"/>
          <w:szCs w:val="24"/>
          <w:lang w:val="en-GB"/>
        </w:rPr>
      </w:pPr>
      <w:r w:rsidRPr="0072136F">
        <w:rPr>
          <w:sz w:val="24"/>
          <w:szCs w:val="24"/>
          <w:lang w:val="en-GB"/>
        </w:rPr>
        <w:t>Report from Website Editor</w:t>
      </w:r>
    </w:p>
    <w:p w:rsidR="00087F5F" w:rsidRPr="0072136F" w:rsidRDefault="00087F5F" w:rsidP="00087F5F">
      <w:pPr>
        <w:ind w:left="720"/>
        <w:rPr>
          <w:sz w:val="24"/>
          <w:szCs w:val="24"/>
          <w:lang w:val="en-GB"/>
        </w:rPr>
      </w:pPr>
    </w:p>
    <w:p w:rsidR="0046751D" w:rsidRPr="0072136F" w:rsidRDefault="00436B46" w:rsidP="00087F5F">
      <w:pPr>
        <w:ind w:left="720"/>
        <w:rPr>
          <w:sz w:val="24"/>
          <w:szCs w:val="24"/>
          <w:lang w:val="en-GB"/>
        </w:rPr>
      </w:pPr>
      <w:r w:rsidRPr="0072136F">
        <w:rPr>
          <w:sz w:val="24"/>
          <w:szCs w:val="24"/>
          <w:lang w:val="en-GB"/>
        </w:rPr>
        <w:t xml:space="preserve">MC </w:t>
      </w:r>
      <w:r w:rsidR="0046751D" w:rsidRPr="0072136F">
        <w:rPr>
          <w:sz w:val="24"/>
          <w:szCs w:val="24"/>
          <w:lang w:val="en-GB"/>
        </w:rPr>
        <w:t>moved to formalise</w:t>
      </w:r>
      <w:r w:rsidRPr="0072136F">
        <w:rPr>
          <w:sz w:val="24"/>
          <w:szCs w:val="24"/>
          <w:lang w:val="en-GB"/>
        </w:rPr>
        <w:t xml:space="preserve"> Andrew Smith (AS)</w:t>
      </w:r>
      <w:r w:rsidR="0046751D" w:rsidRPr="0072136F">
        <w:rPr>
          <w:sz w:val="24"/>
          <w:szCs w:val="24"/>
          <w:lang w:val="en-GB"/>
        </w:rPr>
        <w:t xml:space="preserve">’s role as website actor.  AS </w:t>
      </w:r>
    </w:p>
    <w:p w:rsidR="000A58BA" w:rsidRPr="0072136F" w:rsidRDefault="00436B46" w:rsidP="0046751D">
      <w:pPr>
        <w:rPr>
          <w:sz w:val="24"/>
          <w:szCs w:val="24"/>
          <w:lang w:val="en-GB"/>
        </w:rPr>
      </w:pPr>
      <w:r w:rsidRPr="0072136F">
        <w:rPr>
          <w:sz w:val="24"/>
          <w:szCs w:val="24"/>
          <w:lang w:val="en-GB"/>
        </w:rPr>
        <w:t xml:space="preserve">had </w:t>
      </w:r>
      <w:r w:rsidR="0046751D" w:rsidRPr="0072136F">
        <w:rPr>
          <w:sz w:val="24"/>
          <w:szCs w:val="24"/>
          <w:lang w:val="en-GB"/>
        </w:rPr>
        <w:t>kindly agreed to serve as acting website editor when</w:t>
      </w:r>
      <w:r w:rsidRPr="0072136F">
        <w:rPr>
          <w:sz w:val="24"/>
          <w:szCs w:val="24"/>
          <w:lang w:val="en-GB"/>
        </w:rPr>
        <w:t xml:space="preserve"> Kevin Gould</w:t>
      </w:r>
      <w:r w:rsidR="0046751D" w:rsidRPr="0072136F">
        <w:rPr>
          <w:sz w:val="24"/>
          <w:szCs w:val="24"/>
          <w:lang w:val="en-GB"/>
        </w:rPr>
        <w:t xml:space="preserve"> stepped down from the role after many years of service</w:t>
      </w:r>
      <w:r w:rsidRPr="0072136F">
        <w:rPr>
          <w:sz w:val="24"/>
          <w:szCs w:val="24"/>
          <w:lang w:val="en-GB"/>
        </w:rPr>
        <w:t xml:space="preserve">.  </w:t>
      </w:r>
      <w:r w:rsidR="0046751D" w:rsidRPr="0072136F">
        <w:rPr>
          <w:sz w:val="24"/>
          <w:szCs w:val="24"/>
          <w:lang w:val="en-GB"/>
        </w:rPr>
        <w:t>The</w:t>
      </w:r>
      <w:r w:rsidRPr="0072136F">
        <w:rPr>
          <w:sz w:val="24"/>
          <w:szCs w:val="24"/>
          <w:lang w:val="en-GB"/>
        </w:rPr>
        <w:t xml:space="preserve"> nomination was approved unanimously.  MC paid tribute to Kevin’s</w:t>
      </w:r>
      <w:r w:rsidR="00473F38" w:rsidRPr="0072136F">
        <w:rPr>
          <w:sz w:val="24"/>
          <w:szCs w:val="24"/>
          <w:lang w:val="en-GB"/>
        </w:rPr>
        <w:t xml:space="preserve"> hard work and</w:t>
      </w:r>
      <w:r w:rsidR="0046751D" w:rsidRPr="0072136F">
        <w:rPr>
          <w:sz w:val="24"/>
          <w:szCs w:val="24"/>
          <w:lang w:val="en-GB"/>
        </w:rPr>
        <w:t xml:space="preserve"> </w:t>
      </w:r>
      <w:r w:rsidRPr="0072136F">
        <w:rPr>
          <w:sz w:val="24"/>
          <w:szCs w:val="24"/>
          <w:lang w:val="en-GB"/>
        </w:rPr>
        <w:t>contri</w:t>
      </w:r>
      <w:r w:rsidR="0046751D" w:rsidRPr="0072136F">
        <w:rPr>
          <w:sz w:val="24"/>
          <w:szCs w:val="24"/>
          <w:lang w:val="en-GB"/>
        </w:rPr>
        <w:t>bution.</w:t>
      </w:r>
    </w:p>
    <w:p w:rsidR="000A58BA" w:rsidRPr="0072136F" w:rsidRDefault="000A58BA" w:rsidP="00087F5F">
      <w:pPr>
        <w:ind w:left="720"/>
        <w:rPr>
          <w:sz w:val="24"/>
          <w:szCs w:val="24"/>
          <w:lang w:val="en-GB"/>
        </w:rPr>
      </w:pPr>
    </w:p>
    <w:p w:rsidR="00436B46" w:rsidRPr="0072136F" w:rsidRDefault="000A58BA" w:rsidP="00087F5F">
      <w:pPr>
        <w:ind w:left="720"/>
        <w:rPr>
          <w:sz w:val="24"/>
          <w:szCs w:val="24"/>
          <w:lang w:val="en-GB"/>
        </w:rPr>
      </w:pPr>
      <w:r w:rsidRPr="0072136F">
        <w:rPr>
          <w:sz w:val="24"/>
          <w:szCs w:val="24"/>
          <w:lang w:val="en-GB"/>
        </w:rPr>
        <w:t>It was remarked that the visuals on the website were dated. AS agreed to review this.</w:t>
      </w:r>
      <w:r w:rsidR="00436B46" w:rsidRPr="0072136F">
        <w:rPr>
          <w:sz w:val="24"/>
          <w:szCs w:val="24"/>
          <w:lang w:val="en-GB"/>
        </w:rPr>
        <w:t xml:space="preserve"> </w:t>
      </w:r>
    </w:p>
    <w:p w:rsidR="00436B46" w:rsidRPr="0072136F" w:rsidRDefault="00436B46" w:rsidP="00087F5F">
      <w:pPr>
        <w:ind w:left="720"/>
        <w:rPr>
          <w:sz w:val="24"/>
          <w:szCs w:val="24"/>
          <w:lang w:val="en-GB"/>
        </w:rPr>
      </w:pPr>
    </w:p>
    <w:p w:rsidR="00405ECB" w:rsidRPr="0072136F" w:rsidRDefault="00667731" w:rsidP="00405ECB">
      <w:pPr>
        <w:numPr>
          <w:ilvl w:val="0"/>
          <w:numId w:val="1"/>
        </w:numPr>
        <w:rPr>
          <w:sz w:val="24"/>
          <w:szCs w:val="24"/>
          <w:lang w:val="en-GB"/>
        </w:rPr>
      </w:pPr>
      <w:r w:rsidRPr="0072136F">
        <w:rPr>
          <w:sz w:val="24"/>
          <w:szCs w:val="24"/>
          <w:lang w:val="en-GB"/>
        </w:rPr>
        <w:t>Report from Social Media Officer</w:t>
      </w:r>
    </w:p>
    <w:p w:rsidR="00405ECB" w:rsidRPr="0072136F" w:rsidRDefault="00405ECB" w:rsidP="00405ECB">
      <w:pPr>
        <w:rPr>
          <w:sz w:val="24"/>
          <w:szCs w:val="24"/>
          <w:lang w:val="en-GB"/>
        </w:rPr>
      </w:pPr>
    </w:p>
    <w:p w:rsidR="000A58BA" w:rsidRPr="0072136F" w:rsidRDefault="000A58BA" w:rsidP="00405ECB">
      <w:pPr>
        <w:rPr>
          <w:sz w:val="24"/>
          <w:szCs w:val="24"/>
          <w:lang w:val="en-GB"/>
        </w:rPr>
      </w:pPr>
      <w:r w:rsidRPr="0072136F">
        <w:rPr>
          <w:sz w:val="24"/>
          <w:szCs w:val="24"/>
          <w:lang w:val="en-GB"/>
        </w:rPr>
        <w:t>Joanna Warson (JW) was confirmed unanimously as the new Social Media</w:t>
      </w:r>
      <w:r w:rsidR="0072136F" w:rsidRPr="0072136F">
        <w:rPr>
          <w:sz w:val="24"/>
          <w:szCs w:val="24"/>
          <w:lang w:val="en-GB"/>
        </w:rPr>
        <w:t xml:space="preserve"> Officer taking over from AS.  JW </w:t>
      </w:r>
      <w:r w:rsidRPr="0072136F">
        <w:rPr>
          <w:sz w:val="24"/>
          <w:szCs w:val="24"/>
          <w:lang w:val="en-GB"/>
        </w:rPr>
        <w:t xml:space="preserve">reported that the Society now has some 347 followers on Twitter and 138 likes on Facebook.  </w:t>
      </w:r>
    </w:p>
    <w:p w:rsidR="00170D7A" w:rsidRPr="0072136F" w:rsidRDefault="00170D7A" w:rsidP="00405ECB">
      <w:pPr>
        <w:rPr>
          <w:sz w:val="24"/>
          <w:szCs w:val="24"/>
          <w:lang w:val="en-GB"/>
        </w:rPr>
      </w:pPr>
    </w:p>
    <w:p w:rsidR="00170D7A" w:rsidRPr="0072136F" w:rsidRDefault="00170D7A" w:rsidP="00405ECB">
      <w:pPr>
        <w:rPr>
          <w:sz w:val="24"/>
          <w:szCs w:val="24"/>
          <w:lang w:val="en-GB"/>
        </w:rPr>
      </w:pPr>
      <w:r w:rsidRPr="0072136F">
        <w:rPr>
          <w:sz w:val="24"/>
          <w:szCs w:val="24"/>
          <w:lang w:val="en-GB"/>
        </w:rPr>
        <w:t>JW agreed to</w:t>
      </w:r>
      <w:r w:rsidR="0024581E">
        <w:rPr>
          <w:sz w:val="24"/>
          <w:szCs w:val="24"/>
          <w:lang w:val="en-GB"/>
        </w:rPr>
        <w:t xml:space="preserve"> liaise with OUP, and to </w:t>
      </w:r>
      <w:r w:rsidRPr="0072136F">
        <w:rPr>
          <w:sz w:val="24"/>
          <w:szCs w:val="24"/>
          <w:lang w:val="en-GB"/>
        </w:rPr>
        <w:t xml:space="preserve">look into whether it may be worth buying social media advertising to promote the work of the Society and its various funding schemes.  </w:t>
      </w:r>
    </w:p>
    <w:p w:rsidR="000A58BA" w:rsidRPr="0072136F" w:rsidRDefault="000A58BA" w:rsidP="00405ECB">
      <w:pPr>
        <w:rPr>
          <w:sz w:val="24"/>
          <w:szCs w:val="24"/>
          <w:lang w:val="en-GB"/>
        </w:rPr>
      </w:pPr>
    </w:p>
    <w:p w:rsidR="00F62737" w:rsidRPr="0072136F" w:rsidRDefault="002E1243" w:rsidP="00F62737">
      <w:pPr>
        <w:numPr>
          <w:ilvl w:val="0"/>
          <w:numId w:val="1"/>
        </w:numPr>
        <w:rPr>
          <w:sz w:val="24"/>
          <w:szCs w:val="24"/>
          <w:lang w:val="en-GB"/>
        </w:rPr>
      </w:pPr>
      <w:r w:rsidRPr="0072136F">
        <w:rPr>
          <w:sz w:val="24"/>
          <w:szCs w:val="24"/>
          <w:lang w:val="en-GB"/>
        </w:rPr>
        <w:t>Report</w:t>
      </w:r>
      <w:r w:rsidR="00667731" w:rsidRPr="0072136F">
        <w:rPr>
          <w:sz w:val="24"/>
          <w:szCs w:val="24"/>
          <w:lang w:val="en-GB"/>
        </w:rPr>
        <w:t xml:space="preserve"> from the Membership Secretary </w:t>
      </w:r>
    </w:p>
    <w:p w:rsidR="008829CE" w:rsidRPr="0072136F" w:rsidRDefault="008829CE" w:rsidP="008829CE">
      <w:pPr>
        <w:rPr>
          <w:sz w:val="24"/>
          <w:szCs w:val="24"/>
          <w:lang w:val="en-GB"/>
        </w:rPr>
      </w:pPr>
    </w:p>
    <w:p w:rsidR="009F0E5D" w:rsidRDefault="0072136F" w:rsidP="008829CE">
      <w:pPr>
        <w:rPr>
          <w:sz w:val="24"/>
          <w:szCs w:val="24"/>
          <w:lang w:val="en-GB"/>
        </w:rPr>
      </w:pPr>
      <w:r w:rsidRPr="0072136F">
        <w:rPr>
          <w:sz w:val="24"/>
          <w:szCs w:val="24"/>
          <w:lang w:val="en-GB"/>
        </w:rPr>
        <w:t xml:space="preserve">NP reported that a snapshot of membership numbers at the present reveals a significant drop compared with last year – 92 versus 147.  </w:t>
      </w:r>
    </w:p>
    <w:p w:rsidR="009F0E5D" w:rsidRDefault="009F0E5D" w:rsidP="008829CE">
      <w:pPr>
        <w:rPr>
          <w:sz w:val="24"/>
          <w:szCs w:val="24"/>
          <w:lang w:val="en-GB"/>
        </w:rPr>
      </w:pPr>
    </w:p>
    <w:p w:rsidR="009F0E5D" w:rsidRPr="0072136F" w:rsidRDefault="009F0E5D" w:rsidP="008829CE">
      <w:pPr>
        <w:rPr>
          <w:sz w:val="24"/>
          <w:szCs w:val="24"/>
          <w:lang w:val="en-GB"/>
        </w:rPr>
      </w:pPr>
      <w:r>
        <w:rPr>
          <w:sz w:val="24"/>
          <w:szCs w:val="24"/>
          <w:lang w:val="en-GB"/>
        </w:rPr>
        <w:t xml:space="preserve">It was noted that this is likely to be seasonal, and that numbers are likely to rise again in the run up to the Society’s conference.  </w:t>
      </w:r>
    </w:p>
    <w:p w:rsidR="0072136F" w:rsidRPr="0072136F" w:rsidRDefault="0072136F" w:rsidP="008829CE">
      <w:pPr>
        <w:rPr>
          <w:sz w:val="24"/>
          <w:szCs w:val="24"/>
          <w:lang w:val="en-GB"/>
        </w:rPr>
      </w:pPr>
    </w:p>
    <w:p w:rsidR="008829CE" w:rsidRPr="0072136F" w:rsidRDefault="008829CE" w:rsidP="008829CE">
      <w:pPr>
        <w:rPr>
          <w:sz w:val="24"/>
          <w:szCs w:val="24"/>
          <w:lang w:val="en-GB"/>
        </w:rPr>
      </w:pPr>
      <w:r w:rsidRPr="0072136F">
        <w:rPr>
          <w:sz w:val="24"/>
          <w:szCs w:val="24"/>
          <w:lang w:val="en-GB"/>
        </w:rPr>
        <w:t xml:space="preserve">9.5 </w:t>
      </w:r>
      <w:r w:rsidRPr="0072136F">
        <w:rPr>
          <w:sz w:val="24"/>
          <w:szCs w:val="24"/>
          <w:lang w:val="en-GB"/>
        </w:rPr>
        <w:tab/>
        <w:t>Report of the Editors of French History</w:t>
      </w:r>
    </w:p>
    <w:p w:rsidR="007C5EE3" w:rsidRPr="0072136F" w:rsidRDefault="007C5EE3" w:rsidP="0072136F">
      <w:pPr>
        <w:rPr>
          <w:sz w:val="24"/>
          <w:szCs w:val="24"/>
          <w:lang w:val="en-GB"/>
        </w:rPr>
      </w:pPr>
    </w:p>
    <w:p w:rsidR="0072136F" w:rsidRDefault="0072136F" w:rsidP="0072136F">
      <w:pPr>
        <w:rPr>
          <w:sz w:val="24"/>
          <w:szCs w:val="24"/>
          <w:lang w:val="en-GB"/>
        </w:rPr>
      </w:pPr>
      <w:r w:rsidRPr="0072136F">
        <w:rPr>
          <w:sz w:val="24"/>
          <w:szCs w:val="24"/>
          <w:lang w:val="en-GB"/>
        </w:rPr>
        <w:t>A report from the editors of the Journal was tabled by JW</w:t>
      </w:r>
      <w:r w:rsidR="00687632">
        <w:rPr>
          <w:sz w:val="24"/>
          <w:szCs w:val="24"/>
          <w:lang w:val="en-GB"/>
        </w:rPr>
        <w:t>.  Please see</w:t>
      </w:r>
      <w:r w:rsidRPr="0072136F">
        <w:rPr>
          <w:sz w:val="24"/>
          <w:szCs w:val="24"/>
          <w:lang w:val="en-GB"/>
        </w:rPr>
        <w:t xml:space="preserve"> </w:t>
      </w:r>
      <w:r w:rsidR="00687632">
        <w:rPr>
          <w:sz w:val="24"/>
          <w:szCs w:val="24"/>
          <w:lang w:val="en-GB"/>
        </w:rPr>
        <w:t>A</w:t>
      </w:r>
      <w:r w:rsidRPr="0072136F">
        <w:rPr>
          <w:sz w:val="24"/>
          <w:szCs w:val="24"/>
          <w:lang w:val="en-GB"/>
        </w:rPr>
        <w:t>ppendix II</w:t>
      </w:r>
      <w:r w:rsidR="00B62834">
        <w:rPr>
          <w:sz w:val="24"/>
          <w:szCs w:val="24"/>
          <w:lang w:val="en-GB"/>
        </w:rPr>
        <w:t>I</w:t>
      </w:r>
      <w:r w:rsidRPr="0072136F">
        <w:rPr>
          <w:sz w:val="24"/>
          <w:szCs w:val="24"/>
          <w:lang w:val="en-GB"/>
        </w:rPr>
        <w:t>.</w:t>
      </w:r>
      <w:r w:rsidR="001D5527">
        <w:rPr>
          <w:sz w:val="24"/>
          <w:szCs w:val="24"/>
          <w:lang w:val="en-GB"/>
        </w:rPr>
        <w:t xml:space="preserve">  A discussion followed regarding the proposal to host a meeting of the full editorial board at the Society’s annual conference in Durham.  There was general support for this.  Joe Bergin noted that OUP should also be approached about contributing to this.  </w:t>
      </w:r>
    </w:p>
    <w:p w:rsidR="0049681C" w:rsidRDefault="0049681C" w:rsidP="0072136F">
      <w:pPr>
        <w:rPr>
          <w:sz w:val="24"/>
          <w:szCs w:val="24"/>
          <w:lang w:val="en-GB"/>
        </w:rPr>
      </w:pPr>
    </w:p>
    <w:p w:rsidR="0049681C" w:rsidRDefault="0049681C" w:rsidP="0072136F">
      <w:pPr>
        <w:rPr>
          <w:sz w:val="24"/>
          <w:szCs w:val="24"/>
          <w:lang w:val="en-GB"/>
        </w:rPr>
      </w:pPr>
      <w:r>
        <w:rPr>
          <w:sz w:val="24"/>
          <w:szCs w:val="24"/>
          <w:lang w:val="en-GB"/>
        </w:rPr>
        <w:t>J</w:t>
      </w:r>
      <w:r w:rsidR="00C37406">
        <w:rPr>
          <w:sz w:val="24"/>
          <w:szCs w:val="24"/>
          <w:lang w:val="en-GB"/>
        </w:rPr>
        <w:t xml:space="preserve">W </w:t>
      </w:r>
      <w:r>
        <w:rPr>
          <w:sz w:val="24"/>
          <w:szCs w:val="24"/>
          <w:lang w:val="en-GB"/>
        </w:rPr>
        <w:t xml:space="preserve">noted that he would attend a meeting on Open Access on 11 February and would report back. </w:t>
      </w:r>
    </w:p>
    <w:p w:rsidR="00C37406" w:rsidRDefault="00C37406" w:rsidP="0072136F">
      <w:pPr>
        <w:rPr>
          <w:sz w:val="24"/>
          <w:szCs w:val="24"/>
          <w:lang w:val="en-GB"/>
        </w:rPr>
      </w:pPr>
    </w:p>
    <w:p w:rsidR="00C37406" w:rsidRDefault="00C37406" w:rsidP="0072136F">
      <w:pPr>
        <w:rPr>
          <w:sz w:val="24"/>
          <w:szCs w:val="24"/>
          <w:lang w:val="en-GB"/>
        </w:rPr>
      </w:pPr>
      <w:r>
        <w:rPr>
          <w:sz w:val="24"/>
          <w:szCs w:val="24"/>
          <w:lang w:val="en-GB"/>
        </w:rPr>
        <w:t>Jessica Ward</w:t>
      </w:r>
      <w:r w:rsidR="007554F1">
        <w:rPr>
          <w:sz w:val="24"/>
          <w:szCs w:val="24"/>
          <w:lang w:val="en-GB"/>
        </w:rPr>
        <w:t>h</w:t>
      </w:r>
      <w:r>
        <w:rPr>
          <w:sz w:val="24"/>
          <w:szCs w:val="24"/>
          <w:lang w:val="en-GB"/>
        </w:rPr>
        <w:t xml:space="preserve">augh noted that the flow of copy for the news section was good.  Her proposal to have a single </w:t>
      </w:r>
      <w:r w:rsidR="00653EA8">
        <w:rPr>
          <w:sz w:val="24"/>
          <w:szCs w:val="24"/>
          <w:lang w:val="en-GB"/>
        </w:rPr>
        <w:t xml:space="preserve">short 400-word </w:t>
      </w:r>
      <w:r>
        <w:rPr>
          <w:sz w:val="24"/>
          <w:szCs w:val="24"/>
          <w:lang w:val="en-GB"/>
        </w:rPr>
        <w:t xml:space="preserve">report on the outcome of Society-funded activities was endorsed by the committee, as was her request that holders of the Ralph Gibson Bursary also be required to write a report.   </w:t>
      </w:r>
      <w:r w:rsidR="00653EA8">
        <w:rPr>
          <w:sz w:val="24"/>
          <w:szCs w:val="24"/>
          <w:lang w:val="en-GB"/>
        </w:rPr>
        <w:t>The terms and conditions of</w:t>
      </w:r>
      <w:r w:rsidR="002A249A">
        <w:rPr>
          <w:sz w:val="24"/>
          <w:szCs w:val="24"/>
          <w:lang w:val="en-GB"/>
        </w:rPr>
        <w:t xml:space="preserve"> </w:t>
      </w:r>
      <w:r w:rsidR="00653EA8">
        <w:rPr>
          <w:sz w:val="24"/>
          <w:szCs w:val="24"/>
          <w:lang w:val="en-GB"/>
        </w:rPr>
        <w:t xml:space="preserve">awards will be changed to reflect this decision.  </w:t>
      </w:r>
    </w:p>
    <w:p w:rsidR="00C37406" w:rsidRPr="0072136F" w:rsidRDefault="00C37406" w:rsidP="0072136F">
      <w:pPr>
        <w:rPr>
          <w:sz w:val="24"/>
          <w:szCs w:val="24"/>
          <w:lang w:val="en-GB"/>
        </w:rPr>
      </w:pPr>
    </w:p>
    <w:p w:rsidR="0072136F" w:rsidRPr="0072136F" w:rsidRDefault="0072136F" w:rsidP="0072136F">
      <w:pPr>
        <w:rPr>
          <w:sz w:val="24"/>
          <w:szCs w:val="24"/>
          <w:lang w:val="en-GB"/>
        </w:rPr>
      </w:pPr>
    </w:p>
    <w:p w:rsidR="00FB612E" w:rsidRPr="0072136F" w:rsidRDefault="007C5EE3" w:rsidP="007C5EE3">
      <w:pPr>
        <w:numPr>
          <w:ilvl w:val="0"/>
          <w:numId w:val="1"/>
        </w:numPr>
        <w:rPr>
          <w:sz w:val="24"/>
          <w:szCs w:val="24"/>
          <w:lang w:val="en-GB"/>
        </w:rPr>
      </w:pPr>
      <w:r w:rsidRPr="0072136F">
        <w:rPr>
          <w:sz w:val="24"/>
          <w:szCs w:val="24"/>
          <w:lang w:val="en-GB"/>
        </w:rPr>
        <w:t>Conference Matters</w:t>
      </w:r>
    </w:p>
    <w:p w:rsidR="0011727B" w:rsidRDefault="0011727B" w:rsidP="0011727B">
      <w:pPr>
        <w:rPr>
          <w:sz w:val="24"/>
          <w:szCs w:val="24"/>
          <w:lang w:val="en-GB"/>
        </w:rPr>
      </w:pPr>
    </w:p>
    <w:p w:rsidR="00343912" w:rsidRDefault="00343912" w:rsidP="00343912">
      <w:pPr>
        <w:rPr>
          <w:sz w:val="24"/>
          <w:szCs w:val="24"/>
          <w:lang w:val="en-GB"/>
        </w:rPr>
      </w:pPr>
      <w:r>
        <w:rPr>
          <w:sz w:val="24"/>
          <w:szCs w:val="24"/>
          <w:lang w:val="en-GB"/>
        </w:rPr>
        <w:t>MC thanked</w:t>
      </w:r>
      <w:r w:rsidR="00AF5580">
        <w:rPr>
          <w:sz w:val="24"/>
          <w:szCs w:val="24"/>
          <w:lang w:val="en-GB"/>
        </w:rPr>
        <w:t xml:space="preserve"> Kevin Passmore and </w:t>
      </w:r>
      <w:r>
        <w:rPr>
          <w:sz w:val="24"/>
          <w:szCs w:val="24"/>
          <w:lang w:val="en-GB"/>
        </w:rPr>
        <w:t xml:space="preserve">all those who had been involved in organising </w:t>
      </w:r>
      <w:r w:rsidR="001478A9">
        <w:rPr>
          <w:sz w:val="24"/>
          <w:szCs w:val="24"/>
          <w:lang w:val="en-GB"/>
        </w:rPr>
        <w:t xml:space="preserve">an </w:t>
      </w:r>
      <w:r>
        <w:rPr>
          <w:sz w:val="24"/>
          <w:szCs w:val="24"/>
          <w:lang w:val="en-GB"/>
        </w:rPr>
        <w:t xml:space="preserve">enjoyable and hugely successful conference in Cardiff in 2014.  </w:t>
      </w:r>
    </w:p>
    <w:p w:rsidR="00343912" w:rsidRDefault="00343912" w:rsidP="0011727B">
      <w:pPr>
        <w:rPr>
          <w:sz w:val="24"/>
          <w:szCs w:val="24"/>
          <w:lang w:val="en-GB"/>
        </w:rPr>
      </w:pPr>
    </w:p>
    <w:p w:rsidR="000C7E93" w:rsidRDefault="000C7E93" w:rsidP="0011727B">
      <w:pPr>
        <w:rPr>
          <w:sz w:val="24"/>
          <w:szCs w:val="24"/>
          <w:lang w:val="en-GB"/>
        </w:rPr>
      </w:pPr>
      <w:r>
        <w:rPr>
          <w:sz w:val="24"/>
          <w:szCs w:val="24"/>
          <w:lang w:val="en-GB"/>
        </w:rPr>
        <w:t xml:space="preserve">JW and Karine Varley (KV) reported that plans were at an advanced stage for this year’s conference to be held in Durham 10-12 July.  There was a disappointing response to the first call for papers, but the deadline was now extended to the third week of February.  Social media would also be employed to encourage submissions.   </w:t>
      </w:r>
    </w:p>
    <w:p w:rsidR="00F060E8" w:rsidRDefault="00F060E8" w:rsidP="0011727B">
      <w:pPr>
        <w:rPr>
          <w:sz w:val="24"/>
          <w:szCs w:val="24"/>
          <w:lang w:val="en-GB"/>
        </w:rPr>
      </w:pPr>
    </w:p>
    <w:p w:rsidR="00F060E8" w:rsidRDefault="00F060E8" w:rsidP="0011727B">
      <w:pPr>
        <w:rPr>
          <w:sz w:val="24"/>
          <w:szCs w:val="24"/>
          <w:lang w:val="en-GB"/>
        </w:rPr>
      </w:pPr>
      <w:r>
        <w:rPr>
          <w:sz w:val="24"/>
          <w:szCs w:val="24"/>
          <w:lang w:val="en-GB"/>
        </w:rPr>
        <w:t xml:space="preserve">ST raised the issue of whether it would be possible for the Society to look at agreeing to underwrite a proportion of the </w:t>
      </w:r>
      <w:r w:rsidR="002F7E64">
        <w:rPr>
          <w:sz w:val="24"/>
          <w:szCs w:val="24"/>
          <w:lang w:val="en-GB"/>
        </w:rPr>
        <w:t xml:space="preserve">postgraduate/unwaged </w:t>
      </w:r>
      <w:r>
        <w:rPr>
          <w:sz w:val="24"/>
          <w:szCs w:val="24"/>
          <w:lang w:val="en-GB"/>
        </w:rPr>
        <w:t xml:space="preserve">fee income for the St Andrews Conference. </w:t>
      </w:r>
      <w:r w:rsidR="002F7E64">
        <w:rPr>
          <w:sz w:val="24"/>
          <w:szCs w:val="24"/>
          <w:lang w:val="en-GB"/>
        </w:rPr>
        <w:t xml:space="preserve"> MC agreed to look </w:t>
      </w:r>
      <w:r w:rsidR="0045248F">
        <w:rPr>
          <w:sz w:val="24"/>
          <w:szCs w:val="24"/>
          <w:lang w:val="en-GB"/>
        </w:rPr>
        <w:t>at a detailed proposal on this from ST.</w:t>
      </w:r>
    </w:p>
    <w:p w:rsidR="00343912" w:rsidRDefault="00343912" w:rsidP="0011727B">
      <w:pPr>
        <w:rPr>
          <w:sz w:val="24"/>
          <w:szCs w:val="24"/>
          <w:lang w:val="en-GB"/>
        </w:rPr>
      </w:pPr>
    </w:p>
    <w:p w:rsidR="0011727B" w:rsidRPr="0072136F" w:rsidRDefault="0011727B" w:rsidP="0011727B">
      <w:pPr>
        <w:rPr>
          <w:sz w:val="24"/>
          <w:szCs w:val="24"/>
          <w:lang w:val="en-GB"/>
        </w:rPr>
      </w:pPr>
    </w:p>
    <w:p w:rsidR="007C5EE3" w:rsidRPr="0072136F" w:rsidRDefault="007C5EE3" w:rsidP="007C5EE3">
      <w:pPr>
        <w:numPr>
          <w:ilvl w:val="0"/>
          <w:numId w:val="1"/>
        </w:numPr>
        <w:rPr>
          <w:sz w:val="24"/>
          <w:szCs w:val="24"/>
          <w:lang w:val="en-GB"/>
        </w:rPr>
      </w:pPr>
      <w:r w:rsidRPr="0072136F">
        <w:rPr>
          <w:sz w:val="24"/>
          <w:szCs w:val="24"/>
          <w:lang w:val="en-GB"/>
        </w:rPr>
        <w:t xml:space="preserve">Douglas Johnson Annual Lecture </w:t>
      </w:r>
      <w:r w:rsidR="00912B62">
        <w:rPr>
          <w:sz w:val="24"/>
          <w:szCs w:val="24"/>
          <w:lang w:val="en-GB"/>
        </w:rPr>
        <w:t xml:space="preserve">in French History </w:t>
      </w:r>
      <w:r w:rsidRPr="0072136F">
        <w:rPr>
          <w:sz w:val="24"/>
          <w:szCs w:val="24"/>
          <w:lang w:val="en-GB"/>
        </w:rPr>
        <w:t>2015</w:t>
      </w:r>
    </w:p>
    <w:p w:rsidR="00486B82" w:rsidRDefault="00486B82" w:rsidP="00486B82">
      <w:pPr>
        <w:rPr>
          <w:sz w:val="24"/>
          <w:szCs w:val="24"/>
          <w:lang w:val="en-GB"/>
        </w:rPr>
      </w:pPr>
    </w:p>
    <w:p w:rsidR="00E30A75" w:rsidRDefault="00E30A75" w:rsidP="00486B82">
      <w:pPr>
        <w:rPr>
          <w:sz w:val="24"/>
          <w:szCs w:val="24"/>
          <w:lang w:val="en-GB"/>
        </w:rPr>
      </w:pPr>
      <w:r>
        <w:rPr>
          <w:sz w:val="24"/>
          <w:szCs w:val="24"/>
          <w:lang w:val="en-GB"/>
        </w:rPr>
        <w:t xml:space="preserve">MC confirmed that Professor John Horne (TCD) had agreed to offer the Douglas Johnson Lecture in 2015.   This will take place on Wednesday 14 January 2015.  </w:t>
      </w:r>
    </w:p>
    <w:p w:rsidR="00912B62" w:rsidRDefault="00912B62" w:rsidP="00486B82">
      <w:pPr>
        <w:rPr>
          <w:sz w:val="24"/>
          <w:szCs w:val="24"/>
          <w:lang w:val="en-GB"/>
        </w:rPr>
      </w:pPr>
    </w:p>
    <w:p w:rsidR="00912B62" w:rsidRDefault="00912B62" w:rsidP="00486B82">
      <w:pPr>
        <w:rPr>
          <w:sz w:val="24"/>
          <w:szCs w:val="24"/>
          <w:lang w:val="en-GB"/>
        </w:rPr>
      </w:pPr>
      <w:r>
        <w:rPr>
          <w:sz w:val="24"/>
          <w:szCs w:val="24"/>
          <w:lang w:val="en-GB"/>
        </w:rPr>
        <w:lastRenderedPageBreak/>
        <w:t xml:space="preserve">Pam Pilbeam proposed that we reflect on the title of the lecture as it may be deterring younger scholars unfamiliar with Douglas Johnson’s contribution to French scholarship.  The consensus seemed to be in favour of leaving the title as it stood, but ensuring that the last part – in French History – be given due prominence.  </w:t>
      </w:r>
    </w:p>
    <w:p w:rsidR="00654AE4" w:rsidRDefault="00654AE4" w:rsidP="00486B82">
      <w:pPr>
        <w:rPr>
          <w:sz w:val="24"/>
          <w:szCs w:val="24"/>
          <w:lang w:val="en-GB"/>
        </w:rPr>
      </w:pPr>
    </w:p>
    <w:p w:rsidR="00654AE4" w:rsidRDefault="00654AE4" w:rsidP="00486B82">
      <w:pPr>
        <w:rPr>
          <w:sz w:val="24"/>
          <w:szCs w:val="24"/>
          <w:lang w:val="en-GB"/>
        </w:rPr>
      </w:pPr>
      <w:r>
        <w:rPr>
          <w:sz w:val="24"/>
          <w:szCs w:val="24"/>
          <w:lang w:val="en-GB"/>
        </w:rPr>
        <w:t>A general</w:t>
      </w:r>
      <w:r w:rsidR="00343912">
        <w:rPr>
          <w:sz w:val="24"/>
          <w:szCs w:val="24"/>
          <w:lang w:val="en-GB"/>
        </w:rPr>
        <w:t xml:space="preserve"> discussion</w:t>
      </w:r>
      <w:r>
        <w:rPr>
          <w:sz w:val="24"/>
          <w:szCs w:val="24"/>
          <w:lang w:val="en-GB"/>
        </w:rPr>
        <w:t xml:space="preserve"> followed noting the importance of broad publicity for the event to attract London’s broad base of historians.  </w:t>
      </w:r>
    </w:p>
    <w:p w:rsidR="00343912" w:rsidRDefault="00343912" w:rsidP="00486B82">
      <w:pPr>
        <w:rPr>
          <w:sz w:val="24"/>
          <w:szCs w:val="24"/>
          <w:lang w:val="en-GB"/>
        </w:rPr>
      </w:pPr>
      <w:r>
        <w:rPr>
          <w:sz w:val="24"/>
          <w:szCs w:val="24"/>
          <w:lang w:val="en-GB"/>
        </w:rPr>
        <w:t xml:space="preserve"> </w:t>
      </w:r>
    </w:p>
    <w:p w:rsidR="00E30A75" w:rsidRPr="0072136F" w:rsidRDefault="00E30A75" w:rsidP="00486B82">
      <w:pPr>
        <w:rPr>
          <w:sz w:val="24"/>
          <w:szCs w:val="24"/>
          <w:lang w:val="en-GB"/>
        </w:rPr>
      </w:pPr>
    </w:p>
    <w:p w:rsidR="002A5FE8" w:rsidRPr="0072136F" w:rsidRDefault="002E1243" w:rsidP="002A5FE8">
      <w:pPr>
        <w:numPr>
          <w:ilvl w:val="0"/>
          <w:numId w:val="1"/>
        </w:numPr>
        <w:rPr>
          <w:sz w:val="24"/>
          <w:szCs w:val="24"/>
          <w:lang w:val="en-GB"/>
        </w:rPr>
      </w:pPr>
      <w:r w:rsidRPr="0072136F">
        <w:rPr>
          <w:sz w:val="24"/>
          <w:szCs w:val="24"/>
          <w:lang w:val="en-GB"/>
        </w:rPr>
        <w:t>Postgraduate representatives</w:t>
      </w:r>
    </w:p>
    <w:p w:rsidR="00DF5CD4" w:rsidRDefault="00DF5CD4" w:rsidP="00DF5CD4">
      <w:pPr>
        <w:pStyle w:val="ListParagraph"/>
        <w:rPr>
          <w:sz w:val="24"/>
          <w:szCs w:val="24"/>
          <w:lang w:val="en-GB"/>
        </w:rPr>
      </w:pPr>
    </w:p>
    <w:p w:rsidR="00E572C4" w:rsidRPr="00532256" w:rsidRDefault="00DA1CA4" w:rsidP="00E572C4">
      <w:pPr>
        <w:rPr>
          <w:b/>
          <w:sz w:val="24"/>
          <w:szCs w:val="24"/>
          <w:lang w:val="en-GB"/>
        </w:rPr>
      </w:pPr>
      <w:r>
        <w:rPr>
          <w:sz w:val="24"/>
          <w:szCs w:val="24"/>
          <w:lang w:val="en-GB"/>
        </w:rPr>
        <w:t xml:space="preserve">Ellen Crabtree reported that plans for the study day were progressing well.  Last year, 6-7 abstracts were received compared with 17 this year.  There was a request for further funding, which would be matched by </w:t>
      </w:r>
      <w:r w:rsidR="00A43AB0">
        <w:rPr>
          <w:sz w:val="24"/>
          <w:szCs w:val="24"/>
          <w:lang w:val="en-GB"/>
        </w:rPr>
        <w:t xml:space="preserve">its sister </w:t>
      </w:r>
      <w:r>
        <w:rPr>
          <w:sz w:val="24"/>
          <w:szCs w:val="24"/>
          <w:lang w:val="en-GB"/>
        </w:rPr>
        <w:t>society</w:t>
      </w:r>
      <w:r w:rsidR="005A4AB8">
        <w:rPr>
          <w:sz w:val="24"/>
          <w:szCs w:val="24"/>
          <w:lang w:val="en-GB"/>
        </w:rPr>
        <w:t xml:space="preserve"> the </w:t>
      </w:r>
      <w:r w:rsidR="005A4AB8" w:rsidRPr="005A4AB8">
        <w:rPr>
          <w:sz w:val="24"/>
          <w:szCs w:val="24"/>
          <w:lang w:val="en-GB"/>
        </w:rPr>
        <w:t>ASMCF</w:t>
      </w:r>
      <w:r w:rsidRPr="00532256">
        <w:rPr>
          <w:sz w:val="24"/>
          <w:szCs w:val="24"/>
          <w:lang w:val="en-GB"/>
        </w:rPr>
        <w:t xml:space="preserve">.  </w:t>
      </w:r>
      <w:r w:rsidRPr="00F27981">
        <w:rPr>
          <w:sz w:val="24"/>
          <w:szCs w:val="24"/>
          <w:lang w:val="en-GB"/>
        </w:rPr>
        <w:t>It was agreed that 750 GBP be awarded by the S</w:t>
      </w:r>
      <w:r w:rsidR="0002111B" w:rsidRPr="00F27981">
        <w:rPr>
          <w:sz w:val="24"/>
          <w:szCs w:val="24"/>
          <w:lang w:val="en-GB"/>
        </w:rPr>
        <w:t>SFH</w:t>
      </w:r>
      <w:r w:rsidRPr="00F27981">
        <w:rPr>
          <w:sz w:val="24"/>
          <w:szCs w:val="24"/>
          <w:lang w:val="en-GB"/>
        </w:rPr>
        <w:t xml:space="preserve"> to support this event.</w:t>
      </w:r>
      <w:r w:rsidRPr="00532256">
        <w:rPr>
          <w:b/>
          <w:sz w:val="24"/>
          <w:szCs w:val="24"/>
          <w:lang w:val="en-GB"/>
        </w:rPr>
        <w:t xml:space="preserve">  </w:t>
      </w:r>
    </w:p>
    <w:p w:rsidR="00DA1CA4" w:rsidRPr="00E572C4" w:rsidRDefault="00DA1CA4" w:rsidP="00E572C4">
      <w:pPr>
        <w:rPr>
          <w:sz w:val="24"/>
          <w:szCs w:val="24"/>
          <w:lang w:val="en-GB"/>
        </w:rPr>
      </w:pPr>
    </w:p>
    <w:p w:rsidR="005F6B6B" w:rsidRPr="0072136F" w:rsidRDefault="005F6B6B" w:rsidP="00A96E7B">
      <w:pPr>
        <w:numPr>
          <w:ilvl w:val="0"/>
          <w:numId w:val="1"/>
        </w:numPr>
        <w:rPr>
          <w:sz w:val="24"/>
          <w:szCs w:val="24"/>
          <w:lang w:val="en-GB"/>
        </w:rPr>
      </w:pPr>
      <w:r w:rsidRPr="0072136F">
        <w:rPr>
          <w:sz w:val="24"/>
          <w:szCs w:val="24"/>
          <w:lang w:val="en-GB"/>
        </w:rPr>
        <w:t>Trustees and Presidency</w:t>
      </w:r>
    </w:p>
    <w:p w:rsidR="005F6B6B" w:rsidRDefault="005F6B6B" w:rsidP="005F6B6B">
      <w:pPr>
        <w:rPr>
          <w:sz w:val="24"/>
          <w:szCs w:val="24"/>
          <w:lang w:val="en-GB"/>
        </w:rPr>
      </w:pPr>
    </w:p>
    <w:p w:rsidR="00F45CB4" w:rsidRDefault="00F45CB4" w:rsidP="005F6B6B">
      <w:pPr>
        <w:rPr>
          <w:sz w:val="24"/>
          <w:szCs w:val="24"/>
          <w:lang w:val="en-GB"/>
        </w:rPr>
      </w:pPr>
      <w:r>
        <w:rPr>
          <w:sz w:val="24"/>
          <w:szCs w:val="24"/>
          <w:lang w:val="en-GB"/>
        </w:rPr>
        <w:t>MC thanked both Bill and Pam for their dedicated and long-standing service to the Society.</w:t>
      </w:r>
    </w:p>
    <w:p w:rsidR="00F45CB4" w:rsidRDefault="00F45CB4" w:rsidP="005F6B6B">
      <w:pPr>
        <w:rPr>
          <w:sz w:val="24"/>
          <w:szCs w:val="24"/>
          <w:lang w:val="en-GB"/>
        </w:rPr>
      </w:pPr>
    </w:p>
    <w:p w:rsidR="00F45CB4" w:rsidRDefault="00F45CB4" w:rsidP="005F6B6B">
      <w:pPr>
        <w:rPr>
          <w:sz w:val="24"/>
          <w:szCs w:val="24"/>
          <w:lang w:val="en-GB"/>
        </w:rPr>
      </w:pPr>
      <w:r>
        <w:rPr>
          <w:sz w:val="24"/>
          <w:szCs w:val="24"/>
          <w:lang w:val="en-GB"/>
        </w:rPr>
        <w:t xml:space="preserve">He recorded that both Penny Roberts and Dave Andress have been invited to serve as Trustees from July 2014.  </w:t>
      </w:r>
    </w:p>
    <w:p w:rsidR="00F45CB4" w:rsidRDefault="00F45CB4" w:rsidP="005F6B6B">
      <w:pPr>
        <w:rPr>
          <w:sz w:val="24"/>
          <w:szCs w:val="24"/>
          <w:lang w:val="en-GB"/>
        </w:rPr>
      </w:pPr>
    </w:p>
    <w:p w:rsidR="00F45CB4" w:rsidRPr="00F45CB4" w:rsidRDefault="00F45CB4" w:rsidP="005F6B6B">
      <w:pPr>
        <w:rPr>
          <w:sz w:val="24"/>
          <w:szCs w:val="24"/>
          <w:lang w:val="en-GB"/>
        </w:rPr>
      </w:pPr>
      <w:r>
        <w:rPr>
          <w:sz w:val="24"/>
          <w:szCs w:val="24"/>
          <w:lang w:val="en-GB"/>
        </w:rPr>
        <w:t xml:space="preserve">MC also noted that his term as President would come to an end at the next conference, and that a successor would be required.  </w:t>
      </w:r>
    </w:p>
    <w:p w:rsidR="00F45CB4" w:rsidRPr="00F45CB4" w:rsidRDefault="00F45CB4" w:rsidP="00F45CB4">
      <w:pPr>
        <w:rPr>
          <w:sz w:val="24"/>
          <w:szCs w:val="24"/>
          <w:lang w:val="en-GB"/>
        </w:rPr>
      </w:pPr>
    </w:p>
    <w:p w:rsidR="00504A8B" w:rsidRDefault="00824049" w:rsidP="003E392C">
      <w:pPr>
        <w:numPr>
          <w:ilvl w:val="0"/>
          <w:numId w:val="1"/>
        </w:numPr>
        <w:rPr>
          <w:sz w:val="24"/>
          <w:szCs w:val="24"/>
          <w:lang w:val="en-GB"/>
        </w:rPr>
      </w:pPr>
      <w:r w:rsidRPr="0072136F">
        <w:rPr>
          <w:sz w:val="24"/>
          <w:szCs w:val="24"/>
          <w:lang w:val="en-GB"/>
        </w:rPr>
        <w:t xml:space="preserve">Committee Composition </w:t>
      </w:r>
      <w:r w:rsidR="00DF5CD4" w:rsidRPr="0072136F">
        <w:rPr>
          <w:sz w:val="24"/>
          <w:szCs w:val="24"/>
          <w:lang w:val="en-GB"/>
        </w:rPr>
        <w:t xml:space="preserve"> a) Treasurer b) Social Media Officer c) Postgraduate Representatives</w:t>
      </w:r>
    </w:p>
    <w:p w:rsidR="00062644" w:rsidRDefault="00062644" w:rsidP="00062644">
      <w:pPr>
        <w:rPr>
          <w:sz w:val="24"/>
          <w:szCs w:val="24"/>
          <w:lang w:val="en-GB"/>
        </w:rPr>
      </w:pPr>
    </w:p>
    <w:p w:rsidR="00062644" w:rsidRDefault="00A07B8F" w:rsidP="00062644">
      <w:pPr>
        <w:rPr>
          <w:sz w:val="24"/>
          <w:szCs w:val="24"/>
          <w:lang w:val="en-GB"/>
        </w:rPr>
      </w:pPr>
      <w:r>
        <w:rPr>
          <w:sz w:val="24"/>
          <w:szCs w:val="24"/>
          <w:lang w:val="en-GB"/>
        </w:rPr>
        <w:t>Andrew Smith was confirmed as the new website editor.</w:t>
      </w:r>
    </w:p>
    <w:p w:rsidR="00A07B8F" w:rsidRDefault="00A07B8F" w:rsidP="00062644">
      <w:pPr>
        <w:rPr>
          <w:sz w:val="24"/>
          <w:szCs w:val="24"/>
          <w:lang w:val="en-GB"/>
        </w:rPr>
      </w:pPr>
      <w:r>
        <w:rPr>
          <w:sz w:val="24"/>
          <w:szCs w:val="24"/>
          <w:lang w:val="en-GB"/>
        </w:rPr>
        <w:t xml:space="preserve">Joanna Warson </w:t>
      </w:r>
      <w:r w:rsidR="00E3573A">
        <w:rPr>
          <w:sz w:val="24"/>
          <w:szCs w:val="24"/>
          <w:lang w:val="en-GB"/>
        </w:rPr>
        <w:t>was confirmed as the new Social Media Officer.</w:t>
      </w:r>
    </w:p>
    <w:p w:rsidR="00E3573A" w:rsidRDefault="00E3573A" w:rsidP="00062644">
      <w:pPr>
        <w:rPr>
          <w:sz w:val="24"/>
          <w:szCs w:val="24"/>
          <w:lang w:val="en-GB"/>
        </w:rPr>
      </w:pPr>
      <w:r>
        <w:rPr>
          <w:sz w:val="24"/>
          <w:szCs w:val="24"/>
          <w:lang w:val="en-GB"/>
        </w:rPr>
        <w:t>Lori Oates and Ellen Crabtree were confirmed as the new postgraduate representatives.</w:t>
      </w:r>
    </w:p>
    <w:p w:rsidR="00E3573A" w:rsidRDefault="00E3573A" w:rsidP="00062644">
      <w:pPr>
        <w:rPr>
          <w:sz w:val="24"/>
          <w:szCs w:val="24"/>
          <w:lang w:val="en-GB"/>
        </w:rPr>
      </w:pPr>
      <w:r>
        <w:rPr>
          <w:sz w:val="24"/>
          <w:szCs w:val="24"/>
          <w:lang w:val="en-GB"/>
        </w:rPr>
        <w:t>Following the successful defence of her thesis, Linda Briggs would be invited to serve on the committee as an ordinary member.</w:t>
      </w:r>
    </w:p>
    <w:p w:rsidR="00E3573A" w:rsidRDefault="00E3573A" w:rsidP="00062644">
      <w:pPr>
        <w:rPr>
          <w:sz w:val="24"/>
          <w:szCs w:val="24"/>
          <w:lang w:val="en-GB"/>
        </w:rPr>
      </w:pPr>
    </w:p>
    <w:p w:rsidR="00E3573A" w:rsidRPr="0072136F" w:rsidRDefault="00E3573A" w:rsidP="00062644">
      <w:pPr>
        <w:rPr>
          <w:sz w:val="24"/>
          <w:szCs w:val="24"/>
          <w:lang w:val="en-GB"/>
        </w:rPr>
      </w:pPr>
      <w:r>
        <w:rPr>
          <w:sz w:val="24"/>
          <w:szCs w:val="24"/>
          <w:lang w:val="en-GB"/>
        </w:rPr>
        <w:t xml:space="preserve">MC asked for permission to seek a new Treasurer to replace Chris Warne who has stood down from the position after a substantial period in the post.  MC thanked Chris for his invaluable service and contribution to the Society.      </w:t>
      </w:r>
    </w:p>
    <w:p w:rsidR="003E392C" w:rsidRPr="0072136F" w:rsidRDefault="003E392C" w:rsidP="003E392C">
      <w:pPr>
        <w:rPr>
          <w:sz w:val="24"/>
          <w:szCs w:val="24"/>
          <w:lang w:val="en-GB"/>
        </w:rPr>
      </w:pPr>
    </w:p>
    <w:p w:rsidR="00504A8B" w:rsidRPr="0072136F" w:rsidRDefault="00667731" w:rsidP="00504A8B">
      <w:pPr>
        <w:numPr>
          <w:ilvl w:val="0"/>
          <w:numId w:val="1"/>
        </w:numPr>
        <w:rPr>
          <w:sz w:val="24"/>
          <w:szCs w:val="24"/>
          <w:lang w:val="en-GB"/>
        </w:rPr>
      </w:pPr>
      <w:r w:rsidRPr="0072136F">
        <w:rPr>
          <w:sz w:val="24"/>
          <w:szCs w:val="24"/>
          <w:lang w:val="en-GB"/>
        </w:rPr>
        <w:t>Date of next Committee Meeting</w:t>
      </w:r>
    </w:p>
    <w:p w:rsidR="008829CE" w:rsidRPr="0072136F" w:rsidRDefault="008829CE" w:rsidP="008829CE">
      <w:pPr>
        <w:pStyle w:val="ListParagraph"/>
        <w:rPr>
          <w:sz w:val="24"/>
          <w:szCs w:val="24"/>
          <w:lang w:val="en-GB"/>
        </w:rPr>
      </w:pPr>
    </w:p>
    <w:p w:rsidR="008829CE" w:rsidRPr="0072136F" w:rsidRDefault="008829CE" w:rsidP="008829CE">
      <w:pPr>
        <w:ind w:left="720"/>
        <w:rPr>
          <w:sz w:val="24"/>
          <w:szCs w:val="24"/>
          <w:lang w:val="en-GB"/>
        </w:rPr>
      </w:pPr>
      <w:r w:rsidRPr="0072136F">
        <w:rPr>
          <w:sz w:val="24"/>
          <w:szCs w:val="24"/>
          <w:lang w:val="en-GB"/>
        </w:rPr>
        <w:t>This was confirmed as Thursday 10 July 2014.  The AGM will take place on 12 July 2014.</w:t>
      </w:r>
    </w:p>
    <w:p w:rsidR="008829CE" w:rsidRPr="0072136F" w:rsidRDefault="008829CE" w:rsidP="008829CE">
      <w:pPr>
        <w:rPr>
          <w:sz w:val="24"/>
          <w:szCs w:val="24"/>
          <w:lang w:val="en-GB"/>
        </w:rPr>
      </w:pPr>
    </w:p>
    <w:p w:rsidR="00504A8B" w:rsidRPr="0072136F" w:rsidRDefault="00504A8B" w:rsidP="00504A8B">
      <w:pPr>
        <w:rPr>
          <w:sz w:val="24"/>
          <w:szCs w:val="24"/>
          <w:lang w:val="en-GB"/>
        </w:rPr>
      </w:pPr>
    </w:p>
    <w:p w:rsidR="0044574B" w:rsidRPr="0072136F" w:rsidRDefault="003E392C" w:rsidP="003E392C">
      <w:pPr>
        <w:numPr>
          <w:ilvl w:val="0"/>
          <w:numId w:val="1"/>
        </w:numPr>
        <w:rPr>
          <w:sz w:val="24"/>
          <w:szCs w:val="24"/>
          <w:lang w:val="en-GB"/>
        </w:rPr>
      </w:pPr>
      <w:r w:rsidRPr="0072136F">
        <w:rPr>
          <w:sz w:val="24"/>
          <w:szCs w:val="24"/>
          <w:lang w:val="en-GB"/>
        </w:rPr>
        <w:t xml:space="preserve">Any Other Business </w:t>
      </w:r>
    </w:p>
    <w:p w:rsidR="00600596" w:rsidRPr="0072136F" w:rsidRDefault="00600596" w:rsidP="00600596">
      <w:pPr>
        <w:rPr>
          <w:sz w:val="24"/>
          <w:szCs w:val="24"/>
          <w:lang w:val="en-GB"/>
        </w:rPr>
      </w:pPr>
    </w:p>
    <w:p w:rsidR="00600596" w:rsidRPr="0072136F" w:rsidRDefault="00600596" w:rsidP="00600596">
      <w:pPr>
        <w:rPr>
          <w:sz w:val="24"/>
          <w:szCs w:val="24"/>
          <w:lang w:val="en-GB"/>
        </w:rPr>
      </w:pPr>
    </w:p>
    <w:p w:rsidR="006D28CA" w:rsidRDefault="00CB17C4" w:rsidP="00600596">
      <w:pPr>
        <w:rPr>
          <w:sz w:val="24"/>
          <w:szCs w:val="24"/>
          <w:lang w:val="en-GB"/>
        </w:rPr>
      </w:pPr>
      <w:r>
        <w:rPr>
          <w:sz w:val="24"/>
          <w:szCs w:val="24"/>
          <w:lang w:val="en-GB"/>
        </w:rPr>
        <w:t xml:space="preserve">Mark Greengrass reported on the good health of the MUP series, but strongly encouraged submission of proposals from senior scholars.  The committee’s help in securing proposals was sought.  Mark noted that the term of the two series editors was coming to an end and that replacements would need to be found.  Tim suggested that a more phased replacement might be more beneficial.  Both Pam and Mark agreed </w:t>
      </w:r>
      <w:r w:rsidR="00374D5C">
        <w:rPr>
          <w:sz w:val="24"/>
          <w:szCs w:val="24"/>
          <w:lang w:val="en-GB"/>
        </w:rPr>
        <w:t xml:space="preserve">that this would be a sensible way to proceed.  </w:t>
      </w:r>
    </w:p>
    <w:p w:rsidR="006D28CA" w:rsidRDefault="006D28CA" w:rsidP="00600596">
      <w:pPr>
        <w:rPr>
          <w:sz w:val="24"/>
          <w:szCs w:val="24"/>
          <w:lang w:val="en-GB"/>
        </w:rPr>
      </w:pPr>
    </w:p>
    <w:p w:rsidR="00C20D16" w:rsidRDefault="006D28CA" w:rsidP="00600596">
      <w:pPr>
        <w:rPr>
          <w:sz w:val="24"/>
          <w:szCs w:val="24"/>
          <w:lang w:val="en-GB"/>
        </w:rPr>
      </w:pPr>
      <w:r>
        <w:rPr>
          <w:sz w:val="24"/>
          <w:szCs w:val="24"/>
          <w:lang w:val="en-GB"/>
        </w:rPr>
        <w:t>MC asked for proposals and nominations to be sent directly to him.</w:t>
      </w:r>
    </w:p>
    <w:p w:rsidR="000F1B97" w:rsidRDefault="006D28CA" w:rsidP="00600596">
      <w:pPr>
        <w:rPr>
          <w:sz w:val="24"/>
          <w:szCs w:val="24"/>
          <w:lang w:val="en-GB"/>
        </w:rPr>
      </w:pPr>
      <w:r>
        <w:rPr>
          <w:sz w:val="24"/>
          <w:szCs w:val="24"/>
          <w:lang w:val="en-GB"/>
        </w:rPr>
        <w:t xml:space="preserve">  </w:t>
      </w:r>
    </w:p>
    <w:p w:rsidR="00600596" w:rsidRDefault="000F1B97" w:rsidP="00600596">
      <w:pPr>
        <w:rPr>
          <w:sz w:val="24"/>
          <w:szCs w:val="24"/>
          <w:lang w:val="en-GB"/>
        </w:rPr>
      </w:pPr>
      <w:r>
        <w:rPr>
          <w:sz w:val="24"/>
          <w:szCs w:val="24"/>
          <w:lang w:val="en-GB"/>
        </w:rPr>
        <w:t xml:space="preserve">The final piece of business was a proposal to make both Pam and Robin life members of the Society – a proposal approved unanimously by the committee.  </w:t>
      </w:r>
      <w:r w:rsidR="00CB17C4">
        <w:rPr>
          <w:sz w:val="24"/>
          <w:szCs w:val="24"/>
          <w:lang w:val="en-GB"/>
        </w:rPr>
        <w:t xml:space="preserve">  </w:t>
      </w:r>
    </w:p>
    <w:p w:rsidR="00C20D16" w:rsidRDefault="00C20D16" w:rsidP="00600596">
      <w:pPr>
        <w:rPr>
          <w:sz w:val="24"/>
          <w:szCs w:val="24"/>
          <w:lang w:val="en-GB"/>
        </w:rPr>
      </w:pPr>
    </w:p>
    <w:p w:rsidR="00C20D16" w:rsidRPr="0072136F" w:rsidRDefault="00C20D16" w:rsidP="00600596">
      <w:pPr>
        <w:rPr>
          <w:sz w:val="24"/>
          <w:szCs w:val="24"/>
          <w:lang w:val="en-GB"/>
        </w:rPr>
      </w:pPr>
      <w:r>
        <w:rPr>
          <w:sz w:val="24"/>
          <w:szCs w:val="24"/>
          <w:lang w:val="en-GB"/>
        </w:rPr>
        <w:t xml:space="preserve">SW agreed to follow up on this with OUP.  </w:t>
      </w:r>
    </w:p>
    <w:p w:rsidR="00600596" w:rsidRPr="0072136F" w:rsidRDefault="00600596" w:rsidP="00600596">
      <w:pPr>
        <w:rPr>
          <w:sz w:val="24"/>
          <w:szCs w:val="24"/>
          <w:lang w:val="en-GB"/>
        </w:rPr>
      </w:pPr>
    </w:p>
    <w:p w:rsidR="00600596" w:rsidRPr="0072136F" w:rsidRDefault="00600596" w:rsidP="00600596">
      <w:pPr>
        <w:rPr>
          <w:sz w:val="24"/>
          <w:szCs w:val="24"/>
          <w:lang w:val="en-GB"/>
        </w:rPr>
      </w:pPr>
    </w:p>
    <w:p w:rsidR="00600596" w:rsidRPr="0072136F" w:rsidRDefault="00600596">
      <w:pPr>
        <w:rPr>
          <w:sz w:val="24"/>
          <w:szCs w:val="24"/>
          <w:lang w:val="en-GB"/>
        </w:rPr>
      </w:pPr>
      <w:r w:rsidRPr="0072136F">
        <w:rPr>
          <w:sz w:val="24"/>
          <w:szCs w:val="24"/>
          <w:lang w:val="en-GB"/>
        </w:rPr>
        <w:br w:type="page"/>
      </w:r>
    </w:p>
    <w:p w:rsidR="00600596" w:rsidRPr="0072136F" w:rsidRDefault="00600596" w:rsidP="00600596">
      <w:pPr>
        <w:jc w:val="center"/>
        <w:rPr>
          <w:b/>
          <w:sz w:val="24"/>
          <w:szCs w:val="24"/>
          <w:lang w:val="en-GB"/>
        </w:rPr>
      </w:pPr>
      <w:r w:rsidRPr="0072136F">
        <w:rPr>
          <w:b/>
          <w:sz w:val="24"/>
          <w:szCs w:val="24"/>
          <w:lang w:val="en-GB"/>
        </w:rPr>
        <w:t>Appendix I</w:t>
      </w:r>
    </w:p>
    <w:p w:rsidR="00600596" w:rsidRPr="0072136F" w:rsidRDefault="00600596" w:rsidP="00600596">
      <w:pPr>
        <w:jc w:val="center"/>
        <w:rPr>
          <w:sz w:val="24"/>
          <w:szCs w:val="24"/>
          <w:lang w:val="en-GB"/>
        </w:rPr>
      </w:pPr>
    </w:p>
    <w:p w:rsidR="00600596" w:rsidRPr="0072136F" w:rsidRDefault="00600596" w:rsidP="00600596">
      <w:pPr>
        <w:pStyle w:val="PlainText"/>
        <w:jc w:val="center"/>
        <w:rPr>
          <w:rFonts w:ascii="Times New Roman" w:hAnsi="Times New Roman"/>
          <w:b/>
          <w:sz w:val="24"/>
          <w:szCs w:val="24"/>
          <w:lang w:val="en-US"/>
        </w:rPr>
      </w:pPr>
      <w:r w:rsidRPr="0072136F">
        <w:rPr>
          <w:rFonts w:ascii="Times New Roman" w:hAnsi="Times New Roman"/>
          <w:b/>
          <w:sz w:val="24"/>
          <w:szCs w:val="24"/>
          <w:lang w:val="en-US"/>
        </w:rPr>
        <w:t>RECENT AWARDS MADE BY THE SOCIETY</w:t>
      </w:r>
    </w:p>
    <w:p w:rsidR="00600596" w:rsidRPr="0072136F" w:rsidRDefault="00600596" w:rsidP="00600596">
      <w:pPr>
        <w:pStyle w:val="PlainText"/>
        <w:rPr>
          <w:rFonts w:ascii="Times New Roman" w:hAnsi="Times New Roman"/>
          <w:sz w:val="24"/>
          <w:szCs w:val="24"/>
          <w:lang w:val="en-US"/>
        </w:rPr>
      </w:pPr>
    </w:p>
    <w:p w:rsidR="00600596" w:rsidRPr="0072136F" w:rsidRDefault="00600596" w:rsidP="00600596">
      <w:pPr>
        <w:pStyle w:val="PlainText"/>
        <w:rPr>
          <w:rFonts w:ascii="Times New Roman" w:hAnsi="Times New Roman"/>
          <w:sz w:val="24"/>
          <w:szCs w:val="24"/>
          <w:lang w:val="en-US"/>
        </w:rPr>
      </w:pPr>
    </w:p>
    <w:p w:rsidR="00600596" w:rsidRPr="0072136F" w:rsidRDefault="00600596" w:rsidP="00600596">
      <w:pPr>
        <w:pStyle w:val="PlainText"/>
        <w:rPr>
          <w:rFonts w:ascii="Times New Roman" w:hAnsi="Times New Roman"/>
          <w:b/>
          <w:sz w:val="24"/>
          <w:szCs w:val="24"/>
          <w:lang w:val="en-US"/>
        </w:rPr>
      </w:pPr>
      <w:r w:rsidRPr="0072136F">
        <w:rPr>
          <w:rFonts w:ascii="Times New Roman" w:hAnsi="Times New Roman"/>
          <w:b/>
          <w:sz w:val="24"/>
          <w:szCs w:val="24"/>
          <w:lang w:val="en-US"/>
        </w:rPr>
        <w:t>Postgraduate Conference Panel Scheme</w:t>
      </w:r>
    </w:p>
    <w:p w:rsidR="00600596" w:rsidRPr="0072136F" w:rsidRDefault="00600596" w:rsidP="00600596">
      <w:pPr>
        <w:pStyle w:val="PlainText"/>
        <w:rPr>
          <w:rFonts w:ascii="Times New Roman" w:hAnsi="Times New Roman"/>
          <w:sz w:val="24"/>
          <w:szCs w:val="24"/>
          <w:lang w:val="en-US"/>
        </w:rPr>
      </w:pPr>
    </w:p>
    <w:p w:rsidR="00600596" w:rsidRPr="0072136F" w:rsidRDefault="00600596" w:rsidP="00600596">
      <w:pPr>
        <w:pStyle w:val="PlainText"/>
        <w:rPr>
          <w:rFonts w:ascii="Times New Roman" w:hAnsi="Times New Roman"/>
          <w:sz w:val="24"/>
          <w:szCs w:val="24"/>
          <w:lang w:val="en-US"/>
        </w:rPr>
      </w:pPr>
      <w:r w:rsidRPr="0072136F">
        <w:rPr>
          <w:rFonts w:ascii="Times New Roman" w:hAnsi="Times New Roman"/>
          <w:sz w:val="24"/>
          <w:szCs w:val="24"/>
          <w:lang w:val="en-US"/>
        </w:rPr>
        <w:t xml:space="preserve">Stewart McCain (Oxford) </w:t>
      </w:r>
      <w:r w:rsidRPr="0072136F">
        <w:rPr>
          <w:rFonts w:ascii="Times New Roman" w:hAnsi="Times New Roman"/>
          <w:sz w:val="24"/>
          <w:szCs w:val="24"/>
        </w:rPr>
        <w:t>Modernity and its Discontents in Nineteenth-Century France’ at the Society for French Historical Studies Conference in Montreal in April 2014</w:t>
      </w:r>
    </w:p>
    <w:p w:rsidR="00600596" w:rsidRPr="0072136F" w:rsidRDefault="00600596" w:rsidP="00600596">
      <w:pPr>
        <w:pStyle w:val="PlainText"/>
        <w:rPr>
          <w:rFonts w:ascii="Times New Roman" w:hAnsi="Times New Roman"/>
          <w:sz w:val="24"/>
          <w:szCs w:val="24"/>
          <w:lang w:val="en-US"/>
        </w:rPr>
      </w:pPr>
    </w:p>
    <w:p w:rsidR="00600596" w:rsidRPr="0072136F" w:rsidRDefault="00600596" w:rsidP="00600596">
      <w:pPr>
        <w:pStyle w:val="PlainText"/>
        <w:rPr>
          <w:rFonts w:ascii="Times New Roman" w:hAnsi="Times New Roman"/>
          <w:sz w:val="24"/>
          <w:szCs w:val="24"/>
          <w:lang w:val="en-US"/>
        </w:rPr>
      </w:pPr>
    </w:p>
    <w:p w:rsidR="00600596" w:rsidRPr="0072136F" w:rsidRDefault="00600596" w:rsidP="00600596">
      <w:pPr>
        <w:pStyle w:val="PlainText"/>
        <w:rPr>
          <w:rFonts w:ascii="Times New Roman" w:hAnsi="Times New Roman"/>
          <w:b/>
          <w:sz w:val="24"/>
          <w:szCs w:val="24"/>
          <w:lang w:val="en-US"/>
        </w:rPr>
      </w:pPr>
      <w:r w:rsidRPr="0072136F">
        <w:rPr>
          <w:rFonts w:ascii="Times New Roman" w:hAnsi="Times New Roman"/>
          <w:b/>
          <w:sz w:val="24"/>
          <w:szCs w:val="24"/>
          <w:lang w:val="en-US"/>
        </w:rPr>
        <w:t>Conference Grant Scheme</w:t>
      </w:r>
    </w:p>
    <w:p w:rsidR="00600596" w:rsidRPr="0072136F" w:rsidRDefault="00600596" w:rsidP="00600596">
      <w:pPr>
        <w:pStyle w:val="PlainText"/>
        <w:rPr>
          <w:rFonts w:ascii="Times New Roman" w:hAnsi="Times New Roman"/>
          <w:sz w:val="24"/>
          <w:szCs w:val="24"/>
          <w:lang w:val="en-US"/>
        </w:rPr>
      </w:pPr>
    </w:p>
    <w:p w:rsidR="00600596" w:rsidRPr="0072136F" w:rsidRDefault="00600596" w:rsidP="00600596">
      <w:pPr>
        <w:pStyle w:val="PlainText"/>
        <w:rPr>
          <w:rFonts w:ascii="Times New Roman" w:hAnsi="Times New Roman"/>
          <w:color w:val="000000"/>
          <w:sz w:val="24"/>
          <w:szCs w:val="24"/>
        </w:rPr>
      </w:pPr>
      <w:r w:rsidRPr="0072136F">
        <w:rPr>
          <w:rFonts w:ascii="Times New Roman" w:hAnsi="Times New Roman"/>
          <w:sz w:val="24"/>
          <w:szCs w:val="24"/>
        </w:rPr>
        <w:t>Bryce Evans (Liverpool Hope) ‘Food and the First World War’, Liverpool Hope University in 2014.</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 xml:space="preserve">Mark Greengrass (Sheffield), ‘Fortune, pouvoir, et croyance: L’Eglise en France aux XVIe-XVIIe siècles’, 27-28 September 2014. </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color w:val="000000"/>
          <w:sz w:val="24"/>
          <w:szCs w:val="24"/>
        </w:rPr>
      </w:pPr>
      <w:r w:rsidRPr="0072136F">
        <w:rPr>
          <w:rFonts w:ascii="Times New Roman" w:hAnsi="Times New Roman"/>
          <w:color w:val="000000"/>
          <w:sz w:val="24"/>
          <w:szCs w:val="24"/>
        </w:rPr>
        <w:t xml:space="preserve">Sarah Wood ‘Locating Guyane’, University of London Institute in Paris (ULIP), 10-11 July 2014.  </w:t>
      </w:r>
    </w:p>
    <w:p w:rsidR="00600596" w:rsidRPr="0072136F" w:rsidRDefault="00600596" w:rsidP="00600596">
      <w:pPr>
        <w:pStyle w:val="PlainText"/>
        <w:rPr>
          <w:rFonts w:ascii="Times New Roman" w:hAnsi="Times New Roman"/>
          <w:color w:val="000000"/>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lang w:val="en-US"/>
        </w:rPr>
        <w:t>Hanna Diamond (Bath), ‘7</w:t>
      </w:r>
      <w:r w:rsidRPr="0072136F">
        <w:rPr>
          <w:rFonts w:ascii="Times New Roman" w:hAnsi="Times New Roman"/>
          <w:sz w:val="24"/>
          <w:szCs w:val="24"/>
        </w:rPr>
        <w:t>0th Anniversary of the Liberation of France’, Institut Français, London, 13-14 June 2014.</w:t>
      </w:r>
    </w:p>
    <w:p w:rsidR="00600596" w:rsidRPr="0072136F" w:rsidRDefault="00600596" w:rsidP="00600596">
      <w:pPr>
        <w:pStyle w:val="PlainText"/>
        <w:rPr>
          <w:rFonts w:ascii="Times New Roman" w:hAnsi="Times New Roman"/>
          <w:color w:val="000000"/>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Phil McCluskey (Sheffield), for ‘Contacts, encounters, practices: Ottoman-European diplomacy, 1500-1800’, St Andrews, June 2014</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John Condren (St Andrews)  'France and the Mediterranean World in the Long Seventeenth Century' , St Andrews, May 2014.</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Sara Wolfson (Manchester Metropolitan) ‘Anglo-French and Anglo-Spanish marriage negotiations’, Kent, April 2014.</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Iain Stewart (Queen Mary) ‘New Perspectives on the French Liberal Renaissance’, University of London Institute, Paris, 7 December 2013.</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Rachel Douglas (Glasgow) ‘Rewriting French and CaribbeanHistory: The Black Jacobins Revisited’, October 2013</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Marieke Dubbelboer (Bristol), ‘</w:t>
      </w:r>
      <w:r w:rsidRPr="0072136F">
        <w:rPr>
          <w:rFonts w:ascii="Times New Roman" w:hAnsi="Times New Roman"/>
          <w:i/>
          <w:iCs/>
          <w:sz w:val="24"/>
          <w:szCs w:val="24"/>
        </w:rPr>
        <w:t>Writers and the Press in France: Pamphlets, Propaganda, and Politics’</w:t>
      </w:r>
      <w:r w:rsidRPr="0072136F">
        <w:rPr>
          <w:rFonts w:ascii="Times New Roman" w:hAnsi="Times New Roman"/>
          <w:sz w:val="24"/>
          <w:szCs w:val="24"/>
        </w:rPr>
        <w:t>, September 2013.</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 xml:space="preserve">Edward Roberts (St Andrews) ‘Politics and Texts in Late Carolingian Europe, c. 870-1000’, University of St Andrews,  8-9 July 2013.  </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Alison Carroll (Brunel), 'A Century Later: New Approaches to French History, 1914-45', Maison Française d’Oxford 21 June 2013.</w:t>
      </w:r>
    </w:p>
    <w:p w:rsidR="00600596" w:rsidRPr="0072136F" w:rsidRDefault="00600596" w:rsidP="00600596">
      <w:pPr>
        <w:pStyle w:val="PlainText"/>
        <w:rPr>
          <w:rFonts w:ascii="Times New Roman" w:hAnsi="Times New Roman"/>
          <w:b/>
          <w:sz w:val="24"/>
          <w:szCs w:val="24"/>
        </w:rPr>
      </w:pP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b/>
          <w:sz w:val="24"/>
          <w:szCs w:val="24"/>
        </w:rPr>
      </w:pPr>
      <w:r w:rsidRPr="0072136F">
        <w:rPr>
          <w:rFonts w:ascii="Times New Roman" w:hAnsi="Times New Roman"/>
          <w:b/>
          <w:sz w:val="24"/>
          <w:szCs w:val="24"/>
        </w:rPr>
        <w:t>Ralph Gibson Bursary</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The Ralph Gibson Bursary Prize was awarded in 2013 to Will Pooley of New College, Oxford to support his work on ‘Misery in the Moorlands': Lived Bodies in the Landes de Gascogne, 1870-1914’.</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b/>
          <w:sz w:val="24"/>
          <w:szCs w:val="24"/>
        </w:rPr>
      </w:pPr>
    </w:p>
    <w:p w:rsidR="00600596" w:rsidRPr="0072136F" w:rsidRDefault="00600596" w:rsidP="00600596">
      <w:pPr>
        <w:pStyle w:val="PlainText"/>
        <w:rPr>
          <w:rFonts w:ascii="Times New Roman" w:hAnsi="Times New Roman"/>
          <w:b/>
          <w:sz w:val="24"/>
          <w:szCs w:val="24"/>
        </w:rPr>
      </w:pPr>
      <w:r w:rsidRPr="0072136F">
        <w:rPr>
          <w:rFonts w:ascii="Times New Roman" w:hAnsi="Times New Roman"/>
          <w:b/>
          <w:sz w:val="24"/>
          <w:szCs w:val="24"/>
        </w:rPr>
        <w:t>CONFERENCE BURSARIES</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lang w:val="en-US"/>
        </w:rPr>
      </w:pPr>
      <w:r w:rsidRPr="0072136F">
        <w:rPr>
          <w:rFonts w:ascii="Times New Roman" w:hAnsi="Times New Roman"/>
          <w:sz w:val="24"/>
          <w:szCs w:val="24"/>
          <w:lang w:val="en-US"/>
        </w:rPr>
        <w:t>Kristin Bourassa (York), to attend the SFHS conference in Montreal in 2014</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sz w:val="24"/>
          <w:szCs w:val="24"/>
        </w:rPr>
        <w:t>Ellen Crabtree (Newcastle), to attend the SFHS conference in Montreal in 2014</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eastAsia="Times New Roman" w:hAnsi="Times New Roman"/>
          <w:color w:val="000000"/>
          <w:sz w:val="24"/>
          <w:szCs w:val="24"/>
        </w:rPr>
      </w:pPr>
      <w:r w:rsidRPr="0072136F">
        <w:rPr>
          <w:rFonts w:ascii="Times New Roman" w:hAnsi="Times New Roman"/>
          <w:sz w:val="24"/>
          <w:szCs w:val="24"/>
        </w:rPr>
        <w:t>Lori Oates (Exeter) to attend a conference in Gothenburg in 2013</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sz w:val="24"/>
          <w:szCs w:val="24"/>
        </w:rPr>
      </w:pPr>
      <w:r w:rsidRPr="0072136F">
        <w:rPr>
          <w:rFonts w:ascii="Times New Roman" w:hAnsi="Times New Roman"/>
          <w:bCs/>
          <w:sz w:val="24"/>
          <w:szCs w:val="24"/>
        </w:rPr>
        <w:t>Charlotte Faucher (Queen Mary)</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rPr>
          <w:sz w:val="24"/>
          <w:szCs w:val="24"/>
        </w:rPr>
      </w:pPr>
      <w:r w:rsidRPr="0072136F">
        <w:rPr>
          <w:sz w:val="24"/>
          <w:szCs w:val="24"/>
        </w:rPr>
        <w:t>Kate Hammond (St Andrews)</w:t>
      </w:r>
    </w:p>
    <w:p w:rsidR="00600596" w:rsidRPr="0072136F" w:rsidRDefault="00600596" w:rsidP="00600596">
      <w:pPr>
        <w:pStyle w:val="PlainText"/>
        <w:rPr>
          <w:rFonts w:ascii="Times New Roman" w:hAnsi="Times New Roman"/>
          <w:sz w:val="24"/>
          <w:szCs w:val="24"/>
        </w:rPr>
      </w:pPr>
    </w:p>
    <w:p w:rsidR="00600596" w:rsidRPr="0072136F" w:rsidRDefault="00600596" w:rsidP="00600596">
      <w:pPr>
        <w:pStyle w:val="PlainText"/>
        <w:rPr>
          <w:rFonts w:ascii="Times New Roman" w:hAnsi="Times New Roman"/>
          <w:b/>
          <w:sz w:val="24"/>
          <w:szCs w:val="24"/>
        </w:rPr>
      </w:pPr>
    </w:p>
    <w:p w:rsidR="00600596" w:rsidRPr="0072136F" w:rsidRDefault="00600596" w:rsidP="00600596">
      <w:pPr>
        <w:pStyle w:val="PlainText"/>
        <w:rPr>
          <w:rFonts w:ascii="Times New Roman" w:hAnsi="Times New Roman"/>
          <w:b/>
          <w:sz w:val="24"/>
          <w:szCs w:val="24"/>
        </w:rPr>
      </w:pPr>
      <w:r w:rsidRPr="0072136F">
        <w:rPr>
          <w:rFonts w:ascii="Times New Roman" w:hAnsi="Times New Roman"/>
          <w:b/>
          <w:sz w:val="24"/>
          <w:szCs w:val="24"/>
        </w:rPr>
        <w:t>Research Grant Scheme 2013</w:t>
      </w:r>
    </w:p>
    <w:p w:rsidR="00600596" w:rsidRPr="0072136F" w:rsidRDefault="00600596" w:rsidP="00600596">
      <w:pPr>
        <w:rPr>
          <w:b/>
          <w:bCs/>
          <w:sz w:val="24"/>
          <w:szCs w:val="24"/>
        </w:rPr>
      </w:pPr>
    </w:p>
    <w:p w:rsidR="00600596" w:rsidRPr="0072136F" w:rsidRDefault="00600596" w:rsidP="00600596">
      <w:pPr>
        <w:rPr>
          <w:bCs/>
          <w:sz w:val="24"/>
          <w:szCs w:val="24"/>
        </w:rPr>
      </w:pPr>
      <w:r w:rsidRPr="0072136F">
        <w:rPr>
          <w:bCs/>
          <w:sz w:val="24"/>
          <w:szCs w:val="24"/>
        </w:rPr>
        <w:t xml:space="preserve">Will Clement (Oxford)  </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Fiona Ffoulkes (Southampton)</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Stefania Gargioni (Kent)</w:t>
      </w:r>
    </w:p>
    <w:p w:rsidR="00600596" w:rsidRPr="0072136F" w:rsidRDefault="00600596" w:rsidP="00600596">
      <w:pPr>
        <w:rPr>
          <w:bCs/>
          <w:sz w:val="24"/>
          <w:szCs w:val="24"/>
        </w:rPr>
      </w:pPr>
    </w:p>
    <w:p w:rsidR="00600596" w:rsidRPr="0072136F" w:rsidRDefault="00600596" w:rsidP="00600596">
      <w:pPr>
        <w:rPr>
          <w:bCs/>
          <w:sz w:val="24"/>
          <w:szCs w:val="24"/>
        </w:rPr>
      </w:pPr>
      <w:r w:rsidRPr="0072136F">
        <w:rPr>
          <w:bCs/>
          <w:sz w:val="24"/>
          <w:szCs w:val="24"/>
        </w:rPr>
        <w:t>Alessandro Gnasso (Edinburgh)</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Jan de Graaf (Portsmouth)</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Anna Jenkin (Sheffield)</w:t>
      </w:r>
    </w:p>
    <w:p w:rsidR="00600596" w:rsidRPr="0072136F" w:rsidRDefault="00600596" w:rsidP="00600596">
      <w:pPr>
        <w:rPr>
          <w:sz w:val="24"/>
          <w:szCs w:val="24"/>
        </w:rPr>
      </w:pPr>
      <w:r w:rsidRPr="0072136F">
        <w:rPr>
          <w:sz w:val="24"/>
          <w:szCs w:val="24"/>
        </w:rPr>
        <w:t xml:space="preserve">  </w:t>
      </w:r>
    </w:p>
    <w:p w:rsidR="00600596" w:rsidRPr="0072136F" w:rsidRDefault="00600596" w:rsidP="00600596">
      <w:pPr>
        <w:rPr>
          <w:bCs/>
          <w:sz w:val="24"/>
          <w:szCs w:val="24"/>
        </w:rPr>
      </w:pPr>
      <w:r w:rsidRPr="0072136F">
        <w:rPr>
          <w:bCs/>
          <w:sz w:val="24"/>
          <w:szCs w:val="24"/>
        </w:rPr>
        <w:t>Niall MacGalloway (St Andrews)</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Martha McCarey (Oxford)</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Lori Oates (Exeter)</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Imaobong Umoren (Oxford)</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Elisabeth Wallman (Warwick)   </w:t>
      </w:r>
    </w:p>
    <w:p w:rsidR="00600596" w:rsidRPr="0072136F" w:rsidRDefault="00600596" w:rsidP="00600596">
      <w:pPr>
        <w:rPr>
          <w:bCs/>
          <w:sz w:val="24"/>
          <w:szCs w:val="24"/>
        </w:rPr>
      </w:pPr>
    </w:p>
    <w:p w:rsidR="00600596" w:rsidRPr="0072136F" w:rsidRDefault="00600596" w:rsidP="00600596">
      <w:pPr>
        <w:rPr>
          <w:bCs/>
          <w:sz w:val="24"/>
          <w:szCs w:val="24"/>
        </w:rPr>
      </w:pPr>
      <w:r w:rsidRPr="0072136F">
        <w:rPr>
          <w:bCs/>
          <w:sz w:val="24"/>
          <w:szCs w:val="24"/>
        </w:rPr>
        <w:t>Bernard Wilkin  (Sheffield)</w:t>
      </w:r>
    </w:p>
    <w:p w:rsidR="00600596" w:rsidRPr="0072136F" w:rsidRDefault="00600596" w:rsidP="00600596">
      <w:pPr>
        <w:rPr>
          <w:sz w:val="24"/>
          <w:szCs w:val="24"/>
        </w:rPr>
      </w:pPr>
    </w:p>
    <w:p w:rsidR="00600596" w:rsidRPr="0072136F" w:rsidRDefault="00600596" w:rsidP="00600596">
      <w:pPr>
        <w:rPr>
          <w:bCs/>
          <w:sz w:val="24"/>
          <w:szCs w:val="24"/>
        </w:rPr>
      </w:pPr>
      <w:r w:rsidRPr="0072136F">
        <w:rPr>
          <w:bCs/>
          <w:sz w:val="24"/>
          <w:szCs w:val="24"/>
        </w:rPr>
        <w:t>Jacob Zobkiw (Hull)</w:t>
      </w:r>
    </w:p>
    <w:p w:rsidR="00600596" w:rsidRPr="0072136F" w:rsidRDefault="00600596" w:rsidP="00600596">
      <w:pPr>
        <w:pStyle w:val="PlainText"/>
        <w:rPr>
          <w:rFonts w:ascii="Times New Roman" w:hAnsi="Times New Roman"/>
          <w:sz w:val="24"/>
          <w:szCs w:val="24"/>
        </w:rPr>
      </w:pPr>
    </w:p>
    <w:p w:rsidR="00600596" w:rsidRPr="00D8690C" w:rsidRDefault="00D8690C" w:rsidP="00D8690C">
      <w:pPr>
        <w:pStyle w:val="PlainText"/>
        <w:jc w:val="center"/>
        <w:rPr>
          <w:rFonts w:ascii="Times New Roman" w:hAnsi="Times New Roman"/>
          <w:b/>
          <w:sz w:val="24"/>
          <w:szCs w:val="24"/>
        </w:rPr>
      </w:pPr>
      <w:r w:rsidRPr="00D8690C">
        <w:rPr>
          <w:rFonts w:ascii="Times New Roman" w:hAnsi="Times New Roman"/>
          <w:b/>
          <w:sz w:val="24"/>
          <w:szCs w:val="24"/>
        </w:rPr>
        <w:t>APPENDIX II</w:t>
      </w:r>
    </w:p>
    <w:p w:rsidR="00D8690C" w:rsidRPr="00D8690C" w:rsidRDefault="00D8690C" w:rsidP="00D8690C">
      <w:pPr>
        <w:pStyle w:val="PlainText"/>
        <w:jc w:val="center"/>
        <w:rPr>
          <w:rFonts w:ascii="Times New Roman" w:hAnsi="Times New Roman"/>
          <w:b/>
          <w:sz w:val="24"/>
          <w:szCs w:val="24"/>
        </w:rPr>
      </w:pPr>
    </w:p>
    <w:p w:rsidR="00D8690C" w:rsidRDefault="00D8690C" w:rsidP="00D8690C">
      <w:pPr>
        <w:pStyle w:val="PlainText"/>
        <w:jc w:val="center"/>
        <w:rPr>
          <w:rFonts w:ascii="Times New Roman" w:hAnsi="Times New Roman"/>
          <w:b/>
          <w:sz w:val="24"/>
          <w:szCs w:val="24"/>
        </w:rPr>
      </w:pPr>
      <w:r w:rsidRPr="00D8690C">
        <w:rPr>
          <w:rFonts w:ascii="Times New Roman" w:hAnsi="Times New Roman"/>
          <w:b/>
          <w:sz w:val="24"/>
          <w:szCs w:val="24"/>
        </w:rPr>
        <w:t>SOCIETY ACCOUNTS</w:t>
      </w:r>
    </w:p>
    <w:p w:rsidR="00D8690C" w:rsidRDefault="00D8690C" w:rsidP="00D8690C">
      <w:pPr>
        <w:pStyle w:val="PlainText"/>
        <w:jc w:val="center"/>
        <w:rPr>
          <w:rFonts w:ascii="Times New Roman" w:hAnsi="Times New Roman"/>
          <w:b/>
          <w:sz w:val="24"/>
          <w:szCs w:val="24"/>
        </w:rPr>
      </w:pPr>
    </w:p>
    <w:p w:rsidR="00D8690C" w:rsidRDefault="00D8690C" w:rsidP="00D8690C">
      <w:pPr>
        <w:pStyle w:val="PlainText"/>
        <w:jc w:val="center"/>
        <w:rPr>
          <w:rFonts w:ascii="Times New Roman" w:hAnsi="Times New Roman"/>
          <w:b/>
          <w:sz w:val="24"/>
          <w:szCs w:val="24"/>
        </w:rPr>
      </w:pPr>
    </w:p>
    <w:p w:rsidR="00D8690C" w:rsidRDefault="00D8690C" w:rsidP="00D8690C">
      <w:pPr>
        <w:pStyle w:val="PlainText"/>
        <w:jc w:val="center"/>
        <w:rPr>
          <w:rFonts w:ascii="Times New Roman" w:hAnsi="Times New Roman"/>
          <w:b/>
          <w:sz w:val="24"/>
          <w:szCs w:val="24"/>
        </w:rPr>
      </w:pPr>
    </w:p>
    <w:p w:rsidR="00D8690C" w:rsidRDefault="00D8690C" w:rsidP="00D8690C">
      <w:pPr>
        <w:pStyle w:val="PlainText"/>
        <w:jc w:val="center"/>
        <w:rPr>
          <w:rFonts w:ascii="Times New Roman" w:hAnsi="Times New Roman"/>
          <w:b/>
          <w:sz w:val="24"/>
          <w:szCs w:val="24"/>
        </w:rPr>
      </w:pPr>
    </w:p>
    <w:p w:rsidR="00D8690C" w:rsidRDefault="00D8690C" w:rsidP="00D8690C">
      <w:pPr>
        <w:pStyle w:val="PlainText"/>
        <w:jc w:val="center"/>
        <w:rPr>
          <w:rFonts w:ascii="Times New Roman" w:hAnsi="Times New Roman"/>
          <w:b/>
          <w:sz w:val="24"/>
          <w:szCs w:val="24"/>
        </w:rPr>
      </w:pPr>
    </w:p>
    <w:p w:rsidR="00D8690C" w:rsidRPr="00D8690C" w:rsidRDefault="00D8690C" w:rsidP="00D8690C">
      <w:pPr>
        <w:pStyle w:val="PlainText"/>
        <w:jc w:val="center"/>
        <w:rPr>
          <w:rFonts w:ascii="Times New Roman" w:hAnsi="Times New Roman"/>
          <w:b/>
          <w:sz w:val="24"/>
          <w:szCs w:val="24"/>
        </w:rPr>
      </w:pPr>
    </w:p>
    <w:p w:rsidR="0072136F" w:rsidRPr="00D8690C" w:rsidRDefault="00D8690C">
      <w:pPr>
        <w:rPr>
          <w:b/>
          <w:sz w:val="24"/>
          <w:szCs w:val="24"/>
          <w:lang w:val="en-GB"/>
        </w:rPr>
      </w:pPr>
      <w:r>
        <w:rPr>
          <w:noProof/>
          <w:lang w:val="en-GB"/>
        </w:rPr>
        <w:drawing>
          <wp:inline distT="0" distB="0" distL="0" distR="0" wp14:anchorId="3CFBBC90" wp14:editId="18381326">
            <wp:extent cx="6409106" cy="4414477"/>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404019" cy="4410973"/>
                    </a:xfrm>
                    <a:prstGeom prst="rect">
                      <a:avLst/>
                    </a:prstGeom>
                  </pic:spPr>
                </pic:pic>
              </a:graphicData>
            </a:graphic>
          </wp:inline>
        </w:drawing>
      </w:r>
    </w:p>
    <w:p w:rsidR="00D8690C" w:rsidRDefault="00D8690C">
      <w:pPr>
        <w:rPr>
          <w:sz w:val="24"/>
          <w:szCs w:val="24"/>
          <w:lang w:val="en-GB"/>
        </w:rPr>
      </w:pPr>
    </w:p>
    <w:p w:rsidR="00D8690C" w:rsidRDefault="00D8690C">
      <w:pPr>
        <w:rPr>
          <w:sz w:val="24"/>
          <w:szCs w:val="24"/>
          <w:lang w:val="en-GB"/>
        </w:rPr>
      </w:pPr>
      <w:r>
        <w:rPr>
          <w:sz w:val="24"/>
          <w:szCs w:val="24"/>
          <w:lang w:val="en-GB"/>
        </w:rPr>
        <w:br w:type="page"/>
      </w:r>
    </w:p>
    <w:p w:rsidR="00D8690C" w:rsidRPr="0072136F" w:rsidRDefault="00D8690C">
      <w:pPr>
        <w:rPr>
          <w:sz w:val="24"/>
          <w:szCs w:val="24"/>
          <w:lang w:val="en-GB"/>
        </w:rPr>
      </w:pPr>
    </w:p>
    <w:p w:rsidR="00600596" w:rsidRPr="0072136F" w:rsidRDefault="0072136F" w:rsidP="0072136F">
      <w:pPr>
        <w:jc w:val="center"/>
        <w:rPr>
          <w:b/>
          <w:sz w:val="24"/>
          <w:szCs w:val="24"/>
          <w:lang w:val="en-GB"/>
        </w:rPr>
      </w:pPr>
      <w:r w:rsidRPr="0072136F">
        <w:rPr>
          <w:b/>
          <w:sz w:val="24"/>
          <w:szCs w:val="24"/>
          <w:lang w:val="en-GB"/>
        </w:rPr>
        <w:t>APPENDIX II</w:t>
      </w:r>
      <w:r w:rsidR="00B62834">
        <w:rPr>
          <w:b/>
          <w:sz w:val="24"/>
          <w:szCs w:val="24"/>
          <w:lang w:val="en-GB"/>
        </w:rPr>
        <w:t>I</w:t>
      </w:r>
    </w:p>
    <w:p w:rsidR="0072136F" w:rsidRPr="0072136F" w:rsidRDefault="0072136F" w:rsidP="0072136F">
      <w:pPr>
        <w:jc w:val="center"/>
        <w:rPr>
          <w:sz w:val="24"/>
          <w:szCs w:val="24"/>
          <w:lang w:val="en-GB"/>
        </w:rPr>
      </w:pPr>
    </w:p>
    <w:p w:rsidR="0072136F" w:rsidRDefault="0072136F" w:rsidP="0072136F">
      <w:pPr>
        <w:jc w:val="center"/>
        <w:rPr>
          <w:b/>
          <w:sz w:val="24"/>
          <w:szCs w:val="24"/>
        </w:rPr>
      </w:pPr>
      <w:bookmarkStart w:id="1" w:name="_Toc314838179"/>
      <w:r w:rsidRPr="0072136F">
        <w:rPr>
          <w:b/>
          <w:i/>
          <w:sz w:val="24"/>
          <w:szCs w:val="24"/>
        </w:rPr>
        <w:t xml:space="preserve">French History </w:t>
      </w:r>
      <w:r w:rsidRPr="0072136F">
        <w:rPr>
          <w:b/>
          <w:sz w:val="24"/>
          <w:szCs w:val="24"/>
        </w:rPr>
        <w:t>Editors’ report to SSFH Committee, January 2014</w:t>
      </w:r>
    </w:p>
    <w:p w:rsidR="00D8690C" w:rsidRPr="0072136F" w:rsidRDefault="00D8690C" w:rsidP="0072136F">
      <w:pPr>
        <w:jc w:val="center"/>
        <w:rPr>
          <w:b/>
          <w:sz w:val="24"/>
          <w:szCs w:val="24"/>
        </w:rPr>
      </w:pPr>
    </w:p>
    <w:p w:rsidR="0072136F" w:rsidRDefault="0072136F" w:rsidP="0072136F">
      <w:pPr>
        <w:rPr>
          <w:sz w:val="24"/>
          <w:szCs w:val="24"/>
        </w:rPr>
      </w:pPr>
      <w:r w:rsidRPr="0072136F">
        <w:rPr>
          <w:sz w:val="24"/>
          <w:szCs w:val="24"/>
        </w:rPr>
        <w:t xml:space="preserve">The tables below were prepared by our Virtual Editorial Office Assistant who helps keep the management of our online submission site running smoothly. </w:t>
      </w:r>
    </w:p>
    <w:p w:rsidR="00D8690C" w:rsidRPr="0072136F" w:rsidRDefault="00D8690C" w:rsidP="0072136F">
      <w:pPr>
        <w:rPr>
          <w:sz w:val="24"/>
          <w:szCs w:val="24"/>
        </w:rPr>
      </w:pPr>
    </w:p>
    <w:p w:rsidR="0072136F" w:rsidRDefault="0072136F" w:rsidP="0072136F">
      <w:pPr>
        <w:rPr>
          <w:sz w:val="24"/>
          <w:szCs w:val="24"/>
        </w:rPr>
      </w:pPr>
      <w:r w:rsidRPr="0072136F">
        <w:rPr>
          <w:sz w:val="24"/>
          <w:szCs w:val="24"/>
        </w:rPr>
        <w:t xml:space="preserve">Her work shows the growth in submission of Book reviews under Tim Baycroft’s leadership, and the significant bulge in 2012 probably reflects a number of items that he was able to process expeditiously with the new assistance that was in place in that year, helping to stabilize and streamline his processes at Sheffield. We expect that this has now settled and that Tim’s support systems have finally helped to deliver the predictability and stability in copy flow that he needs to manage the book reviews section. There is a ‘buffer’ of a whole issue’s worth of reviews, which means that reviews can be selected for each issue with greater control over the spread and balance of material. </w:t>
      </w:r>
    </w:p>
    <w:p w:rsidR="00D8690C" w:rsidRPr="0072136F" w:rsidRDefault="00D8690C" w:rsidP="0072136F">
      <w:pPr>
        <w:rPr>
          <w:sz w:val="24"/>
          <w:szCs w:val="24"/>
        </w:rPr>
      </w:pPr>
    </w:p>
    <w:p w:rsidR="0072136F" w:rsidRDefault="0072136F" w:rsidP="0072136F">
      <w:pPr>
        <w:rPr>
          <w:sz w:val="24"/>
          <w:szCs w:val="24"/>
        </w:rPr>
      </w:pPr>
      <w:r w:rsidRPr="0072136F">
        <w:rPr>
          <w:sz w:val="24"/>
          <w:szCs w:val="24"/>
        </w:rPr>
        <w:t xml:space="preserve">Article submission remains stubbornly around 40. Within this, overall quality has increased; judging for the annual article prize certainly confirms that. There are also a few more outstanding articles by senior scholars coming our way. The spread is highly satisfactory, too (most of the UK figures in the country-by-country table reflect book review authors, of course). </w:t>
      </w:r>
    </w:p>
    <w:p w:rsidR="00D8690C" w:rsidRPr="0072136F" w:rsidRDefault="00D8690C" w:rsidP="0072136F">
      <w:pPr>
        <w:rPr>
          <w:sz w:val="24"/>
          <w:szCs w:val="24"/>
        </w:rPr>
      </w:pPr>
    </w:p>
    <w:p w:rsidR="0072136F" w:rsidRPr="0072136F" w:rsidRDefault="0072136F" w:rsidP="0072136F">
      <w:pPr>
        <w:rPr>
          <w:sz w:val="24"/>
          <w:szCs w:val="24"/>
        </w:rPr>
      </w:pPr>
      <w:r w:rsidRPr="0072136F">
        <w:rPr>
          <w:sz w:val="24"/>
          <w:szCs w:val="24"/>
        </w:rPr>
        <w:t xml:space="preserve">However, this does suggest that our present policy of 5 articles per issue should remain the same. We need to continue to exercise control on word-length as we were unable to publish book reviews in December 2013. In order to make a significant step forward in terms of increasing article submission rates we would need to develop a fresh strategic approach. </w:t>
      </w:r>
    </w:p>
    <w:p w:rsidR="0072136F" w:rsidRDefault="0072136F" w:rsidP="0072136F">
      <w:pPr>
        <w:rPr>
          <w:sz w:val="24"/>
          <w:szCs w:val="24"/>
        </w:rPr>
      </w:pPr>
      <w:r w:rsidRPr="0072136F">
        <w:rPr>
          <w:sz w:val="24"/>
          <w:szCs w:val="24"/>
        </w:rPr>
        <w:t>We have a number of very worthwhile special issues in hand, including the December 2013 issue on cultural encounters which is fascinating, provocative and high quality – and shows a really helpful branching into more transnational themes. Forthcoming are issues on: animals in French history; France and the Mediterranean in the early modern period; and elections and electoral practices in modern French history. These special issues have again helped to keep a ‘buffer’ of more than 1 issue so that we can make up future ‘normal’ issues from a pool of material that is already published in advance online access.</w:t>
      </w:r>
    </w:p>
    <w:p w:rsidR="00D8690C" w:rsidRPr="0072136F" w:rsidRDefault="00D8690C" w:rsidP="0072136F">
      <w:pPr>
        <w:rPr>
          <w:sz w:val="24"/>
          <w:szCs w:val="24"/>
        </w:rPr>
      </w:pPr>
    </w:p>
    <w:p w:rsidR="0072136F" w:rsidRPr="0072136F" w:rsidRDefault="0072136F" w:rsidP="0072136F">
      <w:pPr>
        <w:rPr>
          <w:sz w:val="24"/>
          <w:szCs w:val="24"/>
        </w:rPr>
      </w:pPr>
      <w:r w:rsidRPr="0072136F">
        <w:rPr>
          <w:sz w:val="24"/>
          <w:szCs w:val="24"/>
        </w:rPr>
        <w:t xml:space="preserve">However,  we would hope that planning special issues would allow us to exercise greater selectivity over a continuing flow of submissions, rather than replacing some of that flow. </w:t>
      </w:r>
    </w:p>
    <w:p w:rsidR="0072136F" w:rsidRPr="0072136F" w:rsidRDefault="0072136F" w:rsidP="0072136F">
      <w:pPr>
        <w:rPr>
          <w:sz w:val="24"/>
          <w:szCs w:val="24"/>
        </w:rPr>
      </w:pPr>
      <w:r w:rsidRPr="0072136F">
        <w:rPr>
          <w:sz w:val="24"/>
          <w:szCs w:val="24"/>
        </w:rPr>
        <w:t xml:space="preserve">We hope to hold a full Board meeting prior to the Durham Conference on 10 July in order to address this and will apply to the SSFH for funding to help bring some Board members who might not have been planning to attend the conference to Durham. </w:t>
      </w: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Default="0072136F" w:rsidP="0072136F">
      <w:pPr>
        <w:rPr>
          <w:sz w:val="24"/>
          <w:szCs w:val="24"/>
        </w:rPr>
      </w:pPr>
    </w:p>
    <w:p w:rsidR="0072136F" w:rsidRPr="0072136F" w:rsidRDefault="0072136F" w:rsidP="0072136F">
      <w:pPr>
        <w:rPr>
          <w:b/>
          <w:sz w:val="24"/>
          <w:szCs w:val="24"/>
        </w:rPr>
      </w:pPr>
      <w:r w:rsidRPr="0072136F">
        <w:rPr>
          <w:b/>
          <w:sz w:val="24"/>
          <w:szCs w:val="24"/>
        </w:rPr>
        <w:t>By Manuscript Type</w:t>
      </w:r>
      <w:bookmarkEnd w:id="1"/>
    </w:p>
    <w:p w:rsidR="0072136F" w:rsidRPr="0072136F" w:rsidRDefault="0072136F" w:rsidP="0072136F">
      <w:pPr>
        <w:rPr>
          <w:sz w:val="24"/>
          <w:szCs w:val="24"/>
        </w:rPr>
      </w:pPr>
      <w:r w:rsidRPr="0072136F">
        <w:rPr>
          <w:noProof/>
          <w:sz w:val="24"/>
          <w:szCs w:val="24"/>
          <w:lang w:val="en-GB"/>
        </w:rPr>
        <w:drawing>
          <wp:inline distT="0" distB="0" distL="0" distR="0" wp14:anchorId="08F63FE5" wp14:editId="69FDEF9B">
            <wp:extent cx="4752975" cy="3333750"/>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r w:rsidRPr="0072136F">
        <w:rPr>
          <w:sz w:val="24"/>
          <w:szCs w:val="24"/>
        </w:rPr>
        <w:tab/>
      </w:r>
    </w:p>
    <w:tbl>
      <w:tblPr>
        <w:tblW w:w="7946" w:type="dxa"/>
        <w:tblInd w:w="103" w:type="dxa"/>
        <w:tblLook w:val="04A0" w:firstRow="1" w:lastRow="0" w:firstColumn="1" w:lastColumn="0" w:noHBand="0" w:noVBand="1"/>
      </w:tblPr>
      <w:tblGrid>
        <w:gridCol w:w="1713"/>
        <w:gridCol w:w="889"/>
        <w:gridCol w:w="834"/>
        <w:gridCol w:w="786"/>
        <w:gridCol w:w="786"/>
        <w:gridCol w:w="786"/>
        <w:gridCol w:w="786"/>
        <w:gridCol w:w="1366"/>
      </w:tblGrid>
      <w:tr w:rsidR="0072136F" w:rsidRPr="0072136F" w:rsidTr="001E33F1">
        <w:trPr>
          <w:trHeight w:val="450"/>
        </w:trPr>
        <w:tc>
          <w:tcPr>
            <w:tcW w:w="1713" w:type="dxa"/>
            <w:tcBorders>
              <w:top w:val="single" w:sz="4" w:space="0" w:color="CFCFCF"/>
              <w:left w:val="single" w:sz="4" w:space="0" w:color="CFCFCF"/>
              <w:bottom w:val="single" w:sz="4" w:space="0" w:color="CFCFCF"/>
              <w:right w:val="single" w:sz="4" w:space="0" w:color="CFCFCF"/>
            </w:tcBorders>
            <w:shd w:val="clear" w:color="auto" w:fill="auto"/>
            <w:hideMark/>
          </w:tcPr>
          <w:p w:rsidR="0072136F" w:rsidRPr="0072136F" w:rsidRDefault="0072136F" w:rsidP="001E33F1">
            <w:pPr>
              <w:rPr>
                <w:b/>
                <w:bCs/>
                <w:color w:val="000000"/>
                <w:sz w:val="24"/>
                <w:szCs w:val="24"/>
              </w:rPr>
            </w:pPr>
            <w:r w:rsidRPr="0072136F">
              <w:rPr>
                <w:b/>
                <w:bCs/>
                <w:color w:val="000000"/>
                <w:sz w:val="24"/>
                <w:szCs w:val="24"/>
              </w:rPr>
              <w:t>Number  of Manuscripts</w:t>
            </w:r>
          </w:p>
        </w:tc>
        <w:tc>
          <w:tcPr>
            <w:tcW w:w="889" w:type="dxa"/>
            <w:tcBorders>
              <w:top w:val="single" w:sz="4" w:space="0" w:color="93B1CD"/>
              <w:left w:val="single" w:sz="4" w:space="0" w:color="93B1CD"/>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2008</w:t>
            </w:r>
          </w:p>
        </w:tc>
        <w:tc>
          <w:tcPr>
            <w:tcW w:w="834"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2009</w:t>
            </w:r>
          </w:p>
        </w:tc>
        <w:tc>
          <w:tcPr>
            <w:tcW w:w="786"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2010</w:t>
            </w:r>
          </w:p>
        </w:tc>
        <w:tc>
          <w:tcPr>
            <w:tcW w:w="786"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2011</w:t>
            </w:r>
          </w:p>
        </w:tc>
        <w:tc>
          <w:tcPr>
            <w:tcW w:w="786"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2012</w:t>
            </w:r>
          </w:p>
        </w:tc>
        <w:tc>
          <w:tcPr>
            <w:tcW w:w="786"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2013</w:t>
            </w:r>
          </w:p>
        </w:tc>
        <w:tc>
          <w:tcPr>
            <w:tcW w:w="1366" w:type="dxa"/>
            <w:tcBorders>
              <w:top w:val="single" w:sz="4" w:space="0" w:color="93B1CD"/>
              <w:left w:val="nil"/>
              <w:bottom w:val="single" w:sz="4" w:space="0" w:color="93B1CD"/>
              <w:right w:val="single" w:sz="4" w:space="0" w:color="93B1CD"/>
            </w:tcBorders>
            <w:shd w:val="clear" w:color="000000" w:fill="DFDFDF"/>
            <w:hideMark/>
          </w:tcPr>
          <w:p w:rsidR="0072136F" w:rsidRPr="0072136F" w:rsidRDefault="0072136F" w:rsidP="001E33F1">
            <w:pPr>
              <w:jc w:val="center"/>
              <w:rPr>
                <w:b/>
                <w:bCs/>
                <w:color w:val="000000"/>
                <w:sz w:val="24"/>
                <w:szCs w:val="24"/>
              </w:rPr>
            </w:pPr>
            <w:r w:rsidRPr="0072136F">
              <w:rPr>
                <w:b/>
                <w:bCs/>
                <w:color w:val="000000"/>
                <w:sz w:val="24"/>
                <w:szCs w:val="24"/>
              </w:rPr>
              <w:t>Summary</w:t>
            </w:r>
          </w:p>
        </w:tc>
      </w:tr>
      <w:tr w:rsidR="0072136F" w:rsidRPr="0072136F" w:rsidTr="001E33F1">
        <w:trPr>
          <w:trHeight w:val="450"/>
        </w:trPr>
        <w:tc>
          <w:tcPr>
            <w:tcW w:w="1713" w:type="dxa"/>
            <w:tcBorders>
              <w:top w:val="single" w:sz="4" w:space="0" w:color="93B1CD"/>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Article</w:t>
            </w:r>
          </w:p>
        </w:tc>
        <w:tc>
          <w:tcPr>
            <w:tcW w:w="889" w:type="dxa"/>
            <w:tcBorders>
              <w:top w:val="single" w:sz="4" w:space="0" w:color="CCCCCC"/>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37</w:t>
            </w:r>
          </w:p>
        </w:tc>
        <w:tc>
          <w:tcPr>
            <w:tcW w:w="834"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36</w:t>
            </w:r>
          </w:p>
        </w:tc>
        <w:tc>
          <w:tcPr>
            <w:tcW w:w="786"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40</w:t>
            </w:r>
          </w:p>
        </w:tc>
        <w:tc>
          <w:tcPr>
            <w:tcW w:w="786"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39</w:t>
            </w:r>
          </w:p>
        </w:tc>
        <w:tc>
          <w:tcPr>
            <w:tcW w:w="786"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42</w:t>
            </w:r>
          </w:p>
        </w:tc>
        <w:tc>
          <w:tcPr>
            <w:tcW w:w="786"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39</w:t>
            </w:r>
          </w:p>
        </w:tc>
        <w:tc>
          <w:tcPr>
            <w:tcW w:w="1366" w:type="dxa"/>
            <w:tcBorders>
              <w:top w:val="single" w:sz="4" w:space="0" w:color="A2C4E0"/>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233</w:t>
            </w:r>
          </w:p>
        </w:tc>
      </w:tr>
      <w:tr w:rsidR="0072136F" w:rsidRPr="0072136F" w:rsidTr="001E33F1">
        <w:trPr>
          <w:trHeight w:val="450"/>
        </w:trPr>
        <w:tc>
          <w:tcPr>
            <w:tcW w:w="1713"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Book Review</w:t>
            </w:r>
          </w:p>
        </w:tc>
        <w:tc>
          <w:tcPr>
            <w:tcW w:w="889"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29</w:t>
            </w:r>
          </w:p>
        </w:tc>
        <w:tc>
          <w:tcPr>
            <w:tcW w:w="83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29</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39</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51</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138</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79</w:t>
            </w:r>
          </w:p>
        </w:tc>
        <w:tc>
          <w:tcPr>
            <w:tcW w:w="136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365</w:t>
            </w:r>
          </w:p>
        </w:tc>
      </w:tr>
      <w:tr w:rsidR="0072136F" w:rsidRPr="0072136F" w:rsidTr="001E33F1">
        <w:trPr>
          <w:trHeight w:val="450"/>
        </w:trPr>
        <w:tc>
          <w:tcPr>
            <w:tcW w:w="1713"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Other</w:t>
            </w:r>
          </w:p>
        </w:tc>
        <w:tc>
          <w:tcPr>
            <w:tcW w:w="889"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83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136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21</w:t>
            </w:r>
          </w:p>
        </w:tc>
      </w:tr>
      <w:tr w:rsidR="0072136F" w:rsidRPr="0072136F" w:rsidTr="001E33F1">
        <w:trPr>
          <w:trHeight w:val="450"/>
        </w:trPr>
        <w:tc>
          <w:tcPr>
            <w:tcW w:w="1713"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Review Article</w:t>
            </w:r>
          </w:p>
        </w:tc>
        <w:tc>
          <w:tcPr>
            <w:tcW w:w="889"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83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786"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136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4</w:t>
            </w:r>
          </w:p>
        </w:tc>
      </w:tr>
      <w:tr w:rsidR="0072136F" w:rsidRPr="0072136F" w:rsidTr="001E33F1">
        <w:trPr>
          <w:trHeight w:val="450"/>
        </w:trPr>
        <w:tc>
          <w:tcPr>
            <w:tcW w:w="1713" w:type="dxa"/>
            <w:tcBorders>
              <w:top w:val="nil"/>
              <w:left w:val="single" w:sz="4" w:space="0" w:color="93B1CD"/>
              <w:bottom w:val="single" w:sz="4" w:space="0" w:color="93B1CD"/>
              <w:right w:val="single" w:sz="4" w:space="0" w:color="93B1CD"/>
            </w:tcBorders>
            <w:shd w:val="clear" w:color="000000" w:fill="DFDFDF"/>
            <w:hideMark/>
          </w:tcPr>
          <w:p w:rsidR="0072136F" w:rsidRPr="0072136F" w:rsidRDefault="0072136F" w:rsidP="001E33F1">
            <w:pPr>
              <w:rPr>
                <w:b/>
                <w:bCs/>
                <w:color w:val="000000"/>
                <w:sz w:val="24"/>
                <w:szCs w:val="24"/>
              </w:rPr>
            </w:pPr>
            <w:r w:rsidRPr="0072136F">
              <w:rPr>
                <w:b/>
                <w:bCs/>
                <w:color w:val="000000"/>
                <w:sz w:val="24"/>
                <w:szCs w:val="24"/>
              </w:rPr>
              <w:t>Summary</w:t>
            </w:r>
          </w:p>
        </w:tc>
        <w:tc>
          <w:tcPr>
            <w:tcW w:w="889" w:type="dxa"/>
            <w:tcBorders>
              <w:top w:val="single" w:sz="4" w:space="0" w:color="A2C4E0"/>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67</w:t>
            </w:r>
          </w:p>
        </w:tc>
        <w:tc>
          <w:tcPr>
            <w:tcW w:w="834"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66</w:t>
            </w:r>
          </w:p>
        </w:tc>
        <w:tc>
          <w:tcPr>
            <w:tcW w:w="786"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86</w:t>
            </w:r>
          </w:p>
        </w:tc>
        <w:tc>
          <w:tcPr>
            <w:tcW w:w="786"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96</w:t>
            </w:r>
          </w:p>
        </w:tc>
        <w:tc>
          <w:tcPr>
            <w:tcW w:w="786"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184</w:t>
            </w:r>
          </w:p>
        </w:tc>
        <w:tc>
          <w:tcPr>
            <w:tcW w:w="786"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124</w:t>
            </w:r>
          </w:p>
        </w:tc>
        <w:tc>
          <w:tcPr>
            <w:tcW w:w="1366"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623</w:t>
            </w:r>
          </w:p>
        </w:tc>
      </w:tr>
    </w:tbl>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r w:rsidRPr="0072136F">
        <w:rPr>
          <w:sz w:val="24"/>
          <w:szCs w:val="24"/>
        </w:rPr>
        <w:t xml:space="preserve"> </w:t>
      </w:r>
    </w:p>
    <w:p w:rsidR="0072136F" w:rsidRPr="0072136F" w:rsidRDefault="0072136F" w:rsidP="0072136F">
      <w:pPr>
        <w:rPr>
          <w:sz w:val="24"/>
          <w:szCs w:val="24"/>
        </w:rPr>
      </w:pPr>
    </w:p>
    <w:p w:rsidR="0072136F" w:rsidRPr="0072136F" w:rsidRDefault="0072136F" w:rsidP="0072136F">
      <w:pPr>
        <w:rPr>
          <w:sz w:val="24"/>
          <w:szCs w:val="24"/>
        </w:rPr>
        <w:sectPr w:rsidR="0072136F" w:rsidRPr="0072136F" w:rsidSect="001E33F1">
          <w:footerReference w:type="even" r:id="rId13"/>
          <w:footerReference w:type="default" r:id="rId14"/>
          <w:footerReference w:type="first" r:id="rId15"/>
          <w:pgSz w:w="11906" w:h="16838"/>
          <w:pgMar w:top="1440" w:right="1440" w:bottom="1440" w:left="1440" w:header="708" w:footer="708" w:gutter="0"/>
          <w:cols w:space="708"/>
          <w:docGrid w:linePitch="360"/>
        </w:sectPr>
      </w:pPr>
    </w:p>
    <w:p w:rsidR="0072136F" w:rsidRPr="0072136F" w:rsidRDefault="0072136F" w:rsidP="0072136F">
      <w:pPr>
        <w:pStyle w:val="Heading3"/>
        <w:rPr>
          <w:rFonts w:ascii="Times New Roman" w:hAnsi="Times New Roman" w:cs="Times New Roman"/>
          <w:sz w:val="24"/>
          <w:szCs w:val="24"/>
        </w:rPr>
      </w:pPr>
      <w:bookmarkStart w:id="2" w:name="_Toc314838180"/>
      <w:r w:rsidRPr="0072136F">
        <w:rPr>
          <w:rFonts w:ascii="Times New Roman" w:hAnsi="Times New Roman" w:cs="Times New Roman"/>
          <w:sz w:val="24"/>
          <w:szCs w:val="24"/>
        </w:rPr>
        <w:t>By Country of Origin</w:t>
      </w:r>
      <w:bookmarkEnd w:id="2"/>
    </w:p>
    <w:p w:rsidR="0072136F" w:rsidRPr="0072136F" w:rsidRDefault="0072136F" w:rsidP="0072136F">
      <w:pPr>
        <w:rPr>
          <w:sz w:val="24"/>
          <w:szCs w:val="24"/>
        </w:rPr>
      </w:pPr>
    </w:p>
    <w:tbl>
      <w:tblPr>
        <w:tblW w:w="6418" w:type="dxa"/>
        <w:tblInd w:w="103" w:type="dxa"/>
        <w:tblLook w:val="04A0" w:firstRow="1" w:lastRow="0" w:firstColumn="1" w:lastColumn="0" w:noHBand="0" w:noVBand="1"/>
      </w:tblPr>
      <w:tblGrid>
        <w:gridCol w:w="1510"/>
        <w:gridCol w:w="723"/>
        <w:gridCol w:w="696"/>
        <w:gridCol w:w="696"/>
        <w:gridCol w:w="696"/>
        <w:gridCol w:w="696"/>
        <w:gridCol w:w="696"/>
        <w:gridCol w:w="1230"/>
      </w:tblGrid>
      <w:tr w:rsidR="0072136F" w:rsidRPr="0072136F" w:rsidTr="001E33F1">
        <w:trPr>
          <w:trHeight w:val="292"/>
        </w:trPr>
        <w:tc>
          <w:tcPr>
            <w:tcW w:w="1504" w:type="dxa"/>
            <w:tcBorders>
              <w:top w:val="single" w:sz="4" w:space="0" w:color="CFCFCF"/>
              <w:left w:val="single" w:sz="4" w:space="0" w:color="CFCFCF"/>
              <w:bottom w:val="single" w:sz="4" w:space="0" w:color="CFCFCF"/>
              <w:right w:val="single" w:sz="4" w:space="0" w:color="CFCFCF"/>
            </w:tcBorders>
            <w:shd w:val="clear" w:color="auto" w:fill="auto"/>
            <w:hideMark/>
          </w:tcPr>
          <w:p w:rsidR="0072136F" w:rsidRPr="0072136F" w:rsidRDefault="0072136F" w:rsidP="001E33F1">
            <w:pPr>
              <w:rPr>
                <w:b/>
                <w:bCs/>
                <w:color w:val="000000"/>
                <w:sz w:val="24"/>
                <w:szCs w:val="24"/>
              </w:rPr>
            </w:pPr>
            <w:r w:rsidRPr="0072136F">
              <w:rPr>
                <w:b/>
                <w:bCs/>
                <w:color w:val="000000"/>
                <w:sz w:val="24"/>
                <w:szCs w:val="24"/>
              </w:rPr>
              <w:t>Number of Manuscripts</w:t>
            </w:r>
          </w:p>
        </w:tc>
        <w:tc>
          <w:tcPr>
            <w:tcW w:w="723" w:type="dxa"/>
            <w:tcBorders>
              <w:top w:val="single" w:sz="4" w:space="0" w:color="93B1CD"/>
              <w:left w:val="single" w:sz="4" w:space="0" w:color="93B1CD"/>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2008</w:t>
            </w:r>
          </w:p>
        </w:tc>
        <w:tc>
          <w:tcPr>
            <w:tcW w:w="635"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2009</w:t>
            </w:r>
          </w:p>
        </w:tc>
        <w:tc>
          <w:tcPr>
            <w:tcW w:w="620"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2010</w:t>
            </w:r>
          </w:p>
        </w:tc>
        <w:tc>
          <w:tcPr>
            <w:tcW w:w="620"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2011</w:t>
            </w:r>
          </w:p>
        </w:tc>
        <w:tc>
          <w:tcPr>
            <w:tcW w:w="620"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2012</w:t>
            </w:r>
          </w:p>
        </w:tc>
        <w:tc>
          <w:tcPr>
            <w:tcW w:w="620" w:type="dxa"/>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2013</w:t>
            </w:r>
          </w:p>
        </w:tc>
        <w:tc>
          <w:tcPr>
            <w:tcW w:w="1076" w:type="dxa"/>
            <w:tcBorders>
              <w:top w:val="single" w:sz="4" w:space="0" w:color="93B1CD"/>
              <w:left w:val="nil"/>
              <w:bottom w:val="single" w:sz="4" w:space="0" w:color="93B1CD"/>
              <w:right w:val="single" w:sz="4" w:space="0" w:color="93B1CD"/>
            </w:tcBorders>
            <w:shd w:val="clear" w:color="000000" w:fill="DFDFDF"/>
            <w:hideMark/>
          </w:tcPr>
          <w:p w:rsidR="0072136F" w:rsidRPr="0072136F" w:rsidRDefault="0072136F" w:rsidP="001E33F1">
            <w:pPr>
              <w:jc w:val="center"/>
              <w:rPr>
                <w:b/>
                <w:bCs/>
                <w:color w:val="000000"/>
                <w:sz w:val="24"/>
                <w:szCs w:val="24"/>
              </w:rPr>
            </w:pPr>
            <w:r w:rsidRPr="0072136F">
              <w:rPr>
                <w:b/>
                <w:bCs/>
                <w:color w:val="000000"/>
                <w:sz w:val="24"/>
                <w:szCs w:val="24"/>
              </w:rPr>
              <w:t>Summary</w:t>
            </w:r>
          </w:p>
        </w:tc>
      </w:tr>
      <w:tr w:rsidR="0072136F" w:rsidRPr="0072136F" w:rsidTr="001E33F1">
        <w:trPr>
          <w:trHeight w:val="292"/>
        </w:trPr>
        <w:tc>
          <w:tcPr>
            <w:tcW w:w="1504" w:type="dxa"/>
            <w:tcBorders>
              <w:top w:val="single" w:sz="4" w:space="0" w:color="93B1CD"/>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Australia                                                                                                                       </w:t>
            </w:r>
          </w:p>
        </w:tc>
        <w:tc>
          <w:tcPr>
            <w:tcW w:w="723" w:type="dxa"/>
            <w:tcBorders>
              <w:top w:val="single" w:sz="4" w:space="0" w:color="CCCCCC"/>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35"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8</w:t>
            </w:r>
          </w:p>
        </w:tc>
        <w:tc>
          <w:tcPr>
            <w:tcW w:w="620"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7</w:t>
            </w:r>
          </w:p>
        </w:tc>
        <w:tc>
          <w:tcPr>
            <w:tcW w:w="620"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15</w:t>
            </w:r>
          </w:p>
        </w:tc>
        <w:tc>
          <w:tcPr>
            <w:tcW w:w="620"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w:t>
            </w:r>
          </w:p>
        </w:tc>
        <w:tc>
          <w:tcPr>
            <w:tcW w:w="1076" w:type="dxa"/>
            <w:tcBorders>
              <w:top w:val="single" w:sz="4" w:space="0" w:color="A2C4E0"/>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40</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Belgium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10</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Canada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7</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8</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7</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29</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Finland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France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7</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8</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13</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10</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10</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59</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Germany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4</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Greece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India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Ireland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9</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Israel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3</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Italy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4</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Netherlands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9</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New Zealand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Portugal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Russian Federation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Spain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4</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Sweden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Switzerland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United Arab Emirates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United Kingdom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29</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32</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41</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58</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78</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62</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300</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 xml:space="preserve">United States                                                                                                                   </w:t>
            </w:r>
          </w:p>
        </w:tc>
        <w:tc>
          <w:tcPr>
            <w:tcW w:w="723"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9</w:t>
            </w:r>
          </w:p>
        </w:tc>
        <w:tc>
          <w:tcPr>
            <w:tcW w:w="635"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14</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16</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65</w:t>
            </w:r>
          </w:p>
        </w:tc>
        <w:tc>
          <w:tcPr>
            <w:tcW w:w="62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27</w:t>
            </w:r>
          </w:p>
        </w:tc>
        <w:tc>
          <w:tcPr>
            <w:tcW w:w="1076" w:type="dxa"/>
            <w:tcBorders>
              <w:top w:val="nil"/>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136</w:t>
            </w:r>
          </w:p>
        </w:tc>
      </w:tr>
      <w:tr w:rsidR="0072136F" w:rsidRPr="0072136F" w:rsidTr="001E33F1">
        <w:trPr>
          <w:trHeight w:val="292"/>
        </w:trPr>
        <w:tc>
          <w:tcPr>
            <w:tcW w:w="1504" w:type="dxa"/>
            <w:tcBorders>
              <w:top w:val="nil"/>
              <w:left w:val="single" w:sz="4" w:space="0" w:color="93B1CD"/>
              <w:bottom w:val="single" w:sz="4" w:space="0" w:color="93B1CD"/>
              <w:right w:val="single" w:sz="4" w:space="0" w:color="93B1CD"/>
            </w:tcBorders>
            <w:shd w:val="clear" w:color="000000" w:fill="DFDFDF"/>
            <w:hideMark/>
          </w:tcPr>
          <w:p w:rsidR="0072136F" w:rsidRPr="0072136F" w:rsidRDefault="0072136F" w:rsidP="001E33F1">
            <w:pPr>
              <w:rPr>
                <w:b/>
                <w:bCs/>
                <w:color w:val="000000"/>
                <w:sz w:val="24"/>
                <w:szCs w:val="24"/>
              </w:rPr>
            </w:pPr>
            <w:r w:rsidRPr="0072136F">
              <w:rPr>
                <w:b/>
                <w:bCs/>
                <w:color w:val="000000"/>
                <w:sz w:val="24"/>
                <w:szCs w:val="24"/>
              </w:rPr>
              <w:t>Summary</w:t>
            </w:r>
          </w:p>
        </w:tc>
        <w:tc>
          <w:tcPr>
            <w:tcW w:w="723" w:type="dxa"/>
            <w:tcBorders>
              <w:top w:val="single" w:sz="4" w:space="0" w:color="A2C4E0"/>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67</w:t>
            </w:r>
          </w:p>
        </w:tc>
        <w:tc>
          <w:tcPr>
            <w:tcW w:w="635"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66</w:t>
            </w:r>
          </w:p>
        </w:tc>
        <w:tc>
          <w:tcPr>
            <w:tcW w:w="62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86</w:t>
            </w:r>
          </w:p>
        </w:tc>
        <w:tc>
          <w:tcPr>
            <w:tcW w:w="62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95</w:t>
            </w:r>
          </w:p>
        </w:tc>
        <w:tc>
          <w:tcPr>
            <w:tcW w:w="62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183</w:t>
            </w:r>
          </w:p>
        </w:tc>
        <w:tc>
          <w:tcPr>
            <w:tcW w:w="62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124</w:t>
            </w:r>
          </w:p>
        </w:tc>
        <w:tc>
          <w:tcPr>
            <w:tcW w:w="1076"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621</w:t>
            </w:r>
          </w:p>
        </w:tc>
      </w:tr>
    </w:tbl>
    <w:p w:rsidR="0072136F" w:rsidRPr="0072136F" w:rsidRDefault="0072136F" w:rsidP="0072136F">
      <w:pPr>
        <w:pStyle w:val="Heading3"/>
        <w:rPr>
          <w:rFonts w:ascii="Times New Roman" w:hAnsi="Times New Roman" w:cs="Times New Roman"/>
          <w:sz w:val="24"/>
          <w:szCs w:val="24"/>
        </w:rPr>
      </w:pP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rPr>
          <w:sz w:val="24"/>
          <w:szCs w:val="24"/>
        </w:rPr>
        <w:sectPr w:rsidR="0072136F" w:rsidRPr="0072136F" w:rsidSect="001E33F1">
          <w:footerReference w:type="first" r:id="rId16"/>
          <w:pgSz w:w="11906" w:h="16838"/>
          <w:pgMar w:top="1440" w:right="1440" w:bottom="1440" w:left="1440" w:header="708" w:footer="708" w:gutter="0"/>
          <w:cols w:space="708"/>
          <w:titlePg/>
          <w:docGrid w:linePitch="360"/>
        </w:sectPr>
      </w:pPr>
    </w:p>
    <w:p w:rsidR="0072136F" w:rsidRPr="0072136F" w:rsidRDefault="0072136F" w:rsidP="0072136F">
      <w:pPr>
        <w:rPr>
          <w:sz w:val="24"/>
          <w:szCs w:val="24"/>
        </w:rPr>
      </w:pPr>
    </w:p>
    <w:tbl>
      <w:tblPr>
        <w:tblW w:w="9060" w:type="dxa"/>
        <w:tblInd w:w="103" w:type="dxa"/>
        <w:tblLook w:val="04A0" w:firstRow="1" w:lastRow="0" w:firstColumn="1" w:lastColumn="0" w:noHBand="0" w:noVBand="1"/>
      </w:tblPr>
      <w:tblGrid>
        <w:gridCol w:w="1510"/>
        <w:gridCol w:w="1540"/>
        <w:gridCol w:w="923"/>
        <w:gridCol w:w="830"/>
        <w:gridCol w:w="869"/>
        <w:gridCol w:w="1160"/>
        <w:gridCol w:w="1140"/>
        <w:gridCol w:w="883"/>
        <w:gridCol w:w="1230"/>
      </w:tblGrid>
      <w:tr w:rsidR="0072136F" w:rsidRPr="0072136F" w:rsidTr="001E33F1">
        <w:trPr>
          <w:trHeight w:val="255"/>
        </w:trPr>
        <w:tc>
          <w:tcPr>
            <w:tcW w:w="1480" w:type="dxa"/>
            <w:vMerge w:val="restart"/>
            <w:tcBorders>
              <w:top w:val="single" w:sz="4" w:space="0" w:color="CFCFCF"/>
              <w:left w:val="single" w:sz="4" w:space="0" w:color="CFCFCF"/>
              <w:bottom w:val="single" w:sz="4" w:space="0" w:color="93B1CD"/>
              <w:right w:val="single" w:sz="4" w:space="0" w:color="93B1CD"/>
            </w:tcBorders>
            <w:shd w:val="clear" w:color="auto" w:fill="auto"/>
            <w:hideMark/>
          </w:tcPr>
          <w:p w:rsidR="0072136F" w:rsidRPr="0072136F" w:rsidRDefault="0072136F" w:rsidP="001E33F1">
            <w:pPr>
              <w:rPr>
                <w:b/>
                <w:bCs/>
                <w:color w:val="000000"/>
                <w:sz w:val="24"/>
                <w:szCs w:val="24"/>
              </w:rPr>
            </w:pPr>
            <w:r w:rsidRPr="0072136F">
              <w:rPr>
                <w:b/>
                <w:bCs/>
                <w:color w:val="000000"/>
                <w:sz w:val="24"/>
                <w:szCs w:val="24"/>
              </w:rPr>
              <w:t>Number of Manuscripts</w:t>
            </w:r>
          </w:p>
        </w:tc>
        <w:tc>
          <w:tcPr>
            <w:tcW w:w="2420" w:type="dxa"/>
            <w:gridSpan w:val="2"/>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Accept</w:t>
            </w:r>
          </w:p>
        </w:tc>
        <w:tc>
          <w:tcPr>
            <w:tcW w:w="1240" w:type="dxa"/>
            <w:gridSpan w:val="2"/>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Reject</w:t>
            </w:r>
          </w:p>
        </w:tc>
        <w:tc>
          <w:tcPr>
            <w:tcW w:w="2980" w:type="dxa"/>
            <w:gridSpan w:val="3"/>
            <w:tcBorders>
              <w:top w:val="single" w:sz="4" w:space="0" w:color="93B1CD"/>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Revise</w:t>
            </w:r>
          </w:p>
        </w:tc>
        <w:tc>
          <w:tcPr>
            <w:tcW w:w="940" w:type="dxa"/>
            <w:vMerge w:val="restart"/>
            <w:tcBorders>
              <w:top w:val="single" w:sz="4" w:space="0" w:color="93B1CD"/>
              <w:left w:val="single" w:sz="4" w:space="0" w:color="93B1CD"/>
              <w:bottom w:val="single" w:sz="4" w:space="0" w:color="93B1CD"/>
              <w:right w:val="single" w:sz="4" w:space="0" w:color="93B1CD"/>
            </w:tcBorders>
            <w:shd w:val="clear" w:color="000000" w:fill="DFDFDF"/>
            <w:hideMark/>
          </w:tcPr>
          <w:p w:rsidR="0072136F" w:rsidRPr="0072136F" w:rsidRDefault="0072136F" w:rsidP="001E33F1">
            <w:pPr>
              <w:jc w:val="center"/>
              <w:rPr>
                <w:b/>
                <w:bCs/>
                <w:color w:val="000000"/>
                <w:sz w:val="24"/>
                <w:szCs w:val="24"/>
              </w:rPr>
            </w:pPr>
            <w:r w:rsidRPr="0072136F">
              <w:rPr>
                <w:b/>
                <w:bCs/>
                <w:color w:val="000000"/>
                <w:sz w:val="24"/>
                <w:szCs w:val="24"/>
              </w:rPr>
              <w:t>Summary</w:t>
            </w:r>
          </w:p>
        </w:tc>
      </w:tr>
      <w:tr w:rsidR="0072136F" w:rsidRPr="0072136F" w:rsidTr="001E33F1">
        <w:trPr>
          <w:trHeight w:val="255"/>
        </w:trPr>
        <w:tc>
          <w:tcPr>
            <w:tcW w:w="1480" w:type="dxa"/>
            <w:vMerge/>
            <w:tcBorders>
              <w:top w:val="single" w:sz="4" w:space="0" w:color="CFCFCF"/>
              <w:left w:val="single" w:sz="4" w:space="0" w:color="CFCFCF"/>
              <w:bottom w:val="single" w:sz="4" w:space="0" w:color="93B1CD"/>
              <w:right w:val="single" w:sz="4" w:space="0" w:color="93B1CD"/>
            </w:tcBorders>
            <w:vAlign w:val="center"/>
            <w:hideMark/>
          </w:tcPr>
          <w:p w:rsidR="0072136F" w:rsidRPr="0072136F" w:rsidRDefault="0072136F" w:rsidP="001E33F1">
            <w:pPr>
              <w:rPr>
                <w:b/>
                <w:bCs/>
                <w:color w:val="000000"/>
                <w:sz w:val="24"/>
                <w:szCs w:val="24"/>
              </w:rPr>
            </w:pPr>
          </w:p>
        </w:tc>
        <w:tc>
          <w:tcPr>
            <w:tcW w:w="1540" w:type="dxa"/>
            <w:tcBorders>
              <w:top w:val="nil"/>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Accept</w:t>
            </w:r>
          </w:p>
        </w:tc>
        <w:tc>
          <w:tcPr>
            <w:tcW w:w="880" w:type="dxa"/>
            <w:tcBorders>
              <w:top w:val="nil"/>
              <w:left w:val="nil"/>
              <w:bottom w:val="single" w:sz="4" w:space="0" w:color="93B1CD"/>
              <w:right w:val="single" w:sz="4" w:space="0" w:color="93B1CD"/>
            </w:tcBorders>
            <w:shd w:val="clear" w:color="000000" w:fill="F2F1F1"/>
            <w:hideMark/>
          </w:tcPr>
          <w:p w:rsidR="0072136F" w:rsidRPr="0072136F" w:rsidRDefault="0072136F" w:rsidP="001E33F1">
            <w:pPr>
              <w:jc w:val="center"/>
              <w:rPr>
                <w:b/>
                <w:bCs/>
                <w:color w:val="000000"/>
                <w:sz w:val="24"/>
                <w:szCs w:val="24"/>
              </w:rPr>
            </w:pPr>
            <w:r w:rsidRPr="0072136F">
              <w:rPr>
                <w:b/>
                <w:bCs/>
                <w:color w:val="000000"/>
                <w:sz w:val="24"/>
                <w:szCs w:val="24"/>
              </w:rPr>
              <w:t>Accept</w:t>
            </w:r>
          </w:p>
        </w:tc>
        <w:tc>
          <w:tcPr>
            <w:tcW w:w="580" w:type="dxa"/>
            <w:tcBorders>
              <w:top w:val="nil"/>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Reject</w:t>
            </w:r>
          </w:p>
        </w:tc>
        <w:tc>
          <w:tcPr>
            <w:tcW w:w="660" w:type="dxa"/>
            <w:tcBorders>
              <w:top w:val="nil"/>
              <w:left w:val="nil"/>
              <w:bottom w:val="single" w:sz="4" w:space="0" w:color="93B1CD"/>
              <w:right w:val="single" w:sz="4" w:space="0" w:color="93B1CD"/>
            </w:tcBorders>
            <w:shd w:val="clear" w:color="000000" w:fill="F2F1F1"/>
            <w:hideMark/>
          </w:tcPr>
          <w:p w:rsidR="0072136F" w:rsidRPr="0072136F" w:rsidRDefault="0072136F" w:rsidP="001E33F1">
            <w:pPr>
              <w:jc w:val="center"/>
              <w:rPr>
                <w:b/>
                <w:bCs/>
                <w:color w:val="000000"/>
                <w:sz w:val="24"/>
                <w:szCs w:val="24"/>
              </w:rPr>
            </w:pPr>
            <w:r w:rsidRPr="0072136F">
              <w:rPr>
                <w:b/>
                <w:bCs/>
                <w:color w:val="000000"/>
                <w:sz w:val="24"/>
                <w:szCs w:val="24"/>
              </w:rPr>
              <w:t>Reject</w:t>
            </w:r>
          </w:p>
        </w:tc>
        <w:tc>
          <w:tcPr>
            <w:tcW w:w="1160" w:type="dxa"/>
            <w:tcBorders>
              <w:top w:val="nil"/>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Major Revision</w:t>
            </w:r>
          </w:p>
        </w:tc>
        <w:tc>
          <w:tcPr>
            <w:tcW w:w="1140" w:type="dxa"/>
            <w:tcBorders>
              <w:top w:val="nil"/>
              <w:left w:val="nil"/>
              <w:bottom w:val="single" w:sz="4" w:space="0" w:color="93B1CD"/>
              <w:right w:val="single" w:sz="4" w:space="0" w:color="93B1CD"/>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Minor Revision</w:t>
            </w:r>
          </w:p>
        </w:tc>
        <w:tc>
          <w:tcPr>
            <w:tcW w:w="680" w:type="dxa"/>
            <w:tcBorders>
              <w:top w:val="nil"/>
              <w:left w:val="nil"/>
              <w:bottom w:val="single" w:sz="4" w:space="0" w:color="93B1CD"/>
              <w:right w:val="single" w:sz="4" w:space="0" w:color="93B1CD"/>
            </w:tcBorders>
            <w:shd w:val="clear" w:color="000000" w:fill="F2F1F1"/>
            <w:hideMark/>
          </w:tcPr>
          <w:p w:rsidR="0072136F" w:rsidRPr="0072136F" w:rsidRDefault="0072136F" w:rsidP="001E33F1">
            <w:pPr>
              <w:jc w:val="center"/>
              <w:rPr>
                <w:b/>
                <w:bCs/>
                <w:color w:val="000000"/>
                <w:sz w:val="24"/>
                <w:szCs w:val="24"/>
              </w:rPr>
            </w:pPr>
            <w:r w:rsidRPr="0072136F">
              <w:rPr>
                <w:b/>
                <w:bCs/>
                <w:color w:val="000000"/>
                <w:sz w:val="24"/>
                <w:szCs w:val="24"/>
              </w:rPr>
              <w:t>Revise</w:t>
            </w:r>
          </w:p>
        </w:tc>
        <w:tc>
          <w:tcPr>
            <w:tcW w:w="940" w:type="dxa"/>
            <w:vMerge/>
            <w:tcBorders>
              <w:top w:val="single" w:sz="4" w:space="0" w:color="93B1CD"/>
              <w:left w:val="single" w:sz="4" w:space="0" w:color="93B1CD"/>
              <w:bottom w:val="single" w:sz="4" w:space="0" w:color="93B1CD"/>
              <w:right w:val="single" w:sz="4" w:space="0" w:color="93B1CD"/>
            </w:tcBorders>
            <w:vAlign w:val="center"/>
            <w:hideMark/>
          </w:tcPr>
          <w:p w:rsidR="0072136F" w:rsidRPr="0072136F" w:rsidRDefault="0072136F" w:rsidP="001E33F1">
            <w:pPr>
              <w:rPr>
                <w:b/>
                <w:bCs/>
                <w:color w:val="000000"/>
                <w:sz w:val="24"/>
                <w:szCs w:val="24"/>
              </w:rPr>
            </w:pPr>
          </w:p>
        </w:tc>
      </w:tr>
      <w:tr w:rsidR="0072136F" w:rsidRPr="0072136F" w:rsidTr="001E33F1">
        <w:trPr>
          <w:trHeight w:val="255"/>
        </w:trPr>
        <w:tc>
          <w:tcPr>
            <w:tcW w:w="1480"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Baycroft, Tim</w:t>
            </w:r>
          </w:p>
        </w:tc>
        <w:tc>
          <w:tcPr>
            <w:tcW w:w="1540" w:type="dxa"/>
            <w:tcBorders>
              <w:top w:val="single" w:sz="4" w:space="0" w:color="CCCCCC"/>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63</w:t>
            </w:r>
          </w:p>
        </w:tc>
        <w:tc>
          <w:tcPr>
            <w:tcW w:w="880" w:type="dxa"/>
            <w:tcBorders>
              <w:top w:val="single" w:sz="4" w:space="0" w:color="A2C4E0"/>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63</w:t>
            </w:r>
          </w:p>
        </w:tc>
        <w:tc>
          <w:tcPr>
            <w:tcW w:w="580" w:type="dxa"/>
            <w:tcBorders>
              <w:top w:val="single" w:sz="4" w:space="0" w:color="CCCCCC"/>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60" w:type="dxa"/>
            <w:tcBorders>
              <w:top w:val="single" w:sz="4" w:space="0" w:color="A2C4E0"/>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 </w:t>
            </w:r>
          </w:p>
        </w:tc>
        <w:tc>
          <w:tcPr>
            <w:tcW w:w="1160" w:type="dxa"/>
            <w:tcBorders>
              <w:top w:val="single" w:sz="4" w:space="0" w:color="CCCCCC"/>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1140"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680" w:type="dxa"/>
            <w:tcBorders>
              <w:top w:val="single" w:sz="4" w:space="0" w:color="A2C4E0"/>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 </w:t>
            </w:r>
          </w:p>
        </w:tc>
        <w:tc>
          <w:tcPr>
            <w:tcW w:w="94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63</w:t>
            </w:r>
          </w:p>
        </w:tc>
      </w:tr>
      <w:tr w:rsidR="0072136F" w:rsidRPr="0072136F" w:rsidTr="001E33F1">
        <w:trPr>
          <w:trHeight w:val="255"/>
        </w:trPr>
        <w:tc>
          <w:tcPr>
            <w:tcW w:w="1480"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Roberts, Penny</w:t>
            </w:r>
          </w:p>
        </w:tc>
        <w:tc>
          <w:tcPr>
            <w:tcW w:w="1540"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 </w:t>
            </w:r>
          </w:p>
        </w:tc>
        <w:tc>
          <w:tcPr>
            <w:tcW w:w="880" w:type="dxa"/>
            <w:tcBorders>
              <w:top w:val="nil"/>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 </w:t>
            </w:r>
          </w:p>
        </w:tc>
        <w:tc>
          <w:tcPr>
            <w:tcW w:w="580"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660" w:type="dxa"/>
            <w:tcBorders>
              <w:top w:val="nil"/>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5</w:t>
            </w:r>
          </w:p>
        </w:tc>
        <w:tc>
          <w:tcPr>
            <w:tcW w:w="1160"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114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w:t>
            </w:r>
          </w:p>
        </w:tc>
        <w:tc>
          <w:tcPr>
            <w:tcW w:w="680" w:type="dxa"/>
            <w:tcBorders>
              <w:top w:val="nil"/>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8</w:t>
            </w:r>
          </w:p>
        </w:tc>
        <w:tc>
          <w:tcPr>
            <w:tcW w:w="940"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13</w:t>
            </w:r>
          </w:p>
        </w:tc>
      </w:tr>
      <w:tr w:rsidR="0072136F" w:rsidRPr="0072136F" w:rsidTr="001E33F1">
        <w:trPr>
          <w:trHeight w:val="255"/>
        </w:trPr>
        <w:tc>
          <w:tcPr>
            <w:tcW w:w="1480" w:type="dxa"/>
            <w:tcBorders>
              <w:top w:val="nil"/>
              <w:left w:val="single" w:sz="4" w:space="0" w:color="93B1CD"/>
              <w:bottom w:val="single" w:sz="4" w:space="0" w:color="93B1CD"/>
              <w:right w:val="single" w:sz="4" w:space="0" w:color="93B1CD"/>
            </w:tcBorders>
            <w:shd w:val="clear" w:color="000000" w:fill="BFD2E2"/>
            <w:hideMark/>
          </w:tcPr>
          <w:p w:rsidR="0072136F" w:rsidRPr="0072136F" w:rsidRDefault="0072136F" w:rsidP="001E33F1">
            <w:pPr>
              <w:rPr>
                <w:color w:val="000000"/>
                <w:sz w:val="24"/>
                <w:szCs w:val="24"/>
              </w:rPr>
            </w:pPr>
            <w:r w:rsidRPr="0072136F">
              <w:rPr>
                <w:color w:val="000000"/>
                <w:sz w:val="24"/>
                <w:szCs w:val="24"/>
              </w:rPr>
              <w:t>Wright, Julian</w:t>
            </w:r>
          </w:p>
        </w:tc>
        <w:tc>
          <w:tcPr>
            <w:tcW w:w="1540"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880" w:type="dxa"/>
            <w:tcBorders>
              <w:top w:val="nil"/>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5</w:t>
            </w:r>
          </w:p>
        </w:tc>
        <w:tc>
          <w:tcPr>
            <w:tcW w:w="580"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w:t>
            </w:r>
          </w:p>
        </w:tc>
        <w:tc>
          <w:tcPr>
            <w:tcW w:w="660" w:type="dxa"/>
            <w:tcBorders>
              <w:top w:val="nil"/>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6</w:t>
            </w:r>
          </w:p>
        </w:tc>
        <w:tc>
          <w:tcPr>
            <w:tcW w:w="1160" w:type="dxa"/>
            <w:tcBorders>
              <w:top w:val="nil"/>
              <w:left w:val="single" w:sz="4" w:space="0" w:color="CCCCCC"/>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1140"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9</w:t>
            </w:r>
          </w:p>
        </w:tc>
        <w:tc>
          <w:tcPr>
            <w:tcW w:w="680" w:type="dxa"/>
            <w:tcBorders>
              <w:top w:val="nil"/>
              <w:left w:val="single" w:sz="4" w:space="0" w:color="A2C4E0"/>
              <w:bottom w:val="single" w:sz="4" w:space="0" w:color="A2C4E0"/>
              <w:right w:val="single" w:sz="4" w:space="0" w:color="A2C4E0"/>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14</w:t>
            </w:r>
          </w:p>
        </w:tc>
        <w:tc>
          <w:tcPr>
            <w:tcW w:w="940"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25</w:t>
            </w:r>
          </w:p>
        </w:tc>
      </w:tr>
      <w:tr w:rsidR="0072136F" w:rsidRPr="0072136F" w:rsidTr="001E33F1">
        <w:trPr>
          <w:trHeight w:val="255"/>
        </w:trPr>
        <w:tc>
          <w:tcPr>
            <w:tcW w:w="1480" w:type="dxa"/>
            <w:tcBorders>
              <w:top w:val="nil"/>
              <w:left w:val="single" w:sz="4" w:space="0" w:color="93B1CD"/>
              <w:bottom w:val="single" w:sz="4" w:space="0" w:color="93B1CD"/>
              <w:right w:val="single" w:sz="4" w:space="0" w:color="93B1CD"/>
            </w:tcBorders>
            <w:shd w:val="clear" w:color="000000" w:fill="DFDFDF"/>
            <w:hideMark/>
          </w:tcPr>
          <w:p w:rsidR="0072136F" w:rsidRPr="0072136F" w:rsidRDefault="0072136F" w:rsidP="001E33F1">
            <w:pPr>
              <w:rPr>
                <w:b/>
                <w:bCs/>
                <w:color w:val="000000"/>
                <w:sz w:val="24"/>
                <w:szCs w:val="24"/>
              </w:rPr>
            </w:pPr>
            <w:r w:rsidRPr="0072136F">
              <w:rPr>
                <w:b/>
                <w:bCs/>
                <w:color w:val="000000"/>
                <w:sz w:val="24"/>
                <w:szCs w:val="24"/>
              </w:rPr>
              <w:t>Summary</w:t>
            </w:r>
          </w:p>
        </w:tc>
        <w:tc>
          <w:tcPr>
            <w:tcW w:w="1540" w:type="dxa"/>
            <w:tcBorders>
              <w:top w:val="single" w:sz="4" w:space="0" w:color="A2C4E0"/>
              <w:left w:val="single" w:sz="4" w:space="0" w:color="A2C4E0"/>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68</w:t>
            </w:r>
          </w:p>
        </w:tc>
        <w:tc>
          <w:tcPr>
            <w:tcW w:w="880"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68</w:t>
            </w:r>
          </w:p>
        </w:tc>
        <w:tc>
          <w:tcPr>
            <w:tcW w:w="58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11</w:t>
            </w:r>
          </w:p>
        </w:tc>
        <w:tc>
          <w:tcPr>
            <w:tcW w:w="660"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11</w:t>
            </w:r>
          </w:p>
        </w:tc>
        <w:tc>
          <w:tcPr>
            <w:tcW w:w="116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10</w:t>
            </w:r>
          </w:p>
        </w:tc>
        <w:tc>
          <w:tcPr>
            <w:tcW w:w="1140" w:type="dxa"/>
            <w:tcBorders>
              <w:top w:val="single" w:sz="4" w:space="0" w:color="A2C4E0"/>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12</w:t>
            </w:r>
          </w:p>
        </w:tc>
        <w:tc>
          <w:tcPr>
            <w:tcW w:w="680"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22</w:t>
            </w:r>
          </w:p>
        </w:tc>
        <w:tc>
          <w:tcPr>
            <w:tcW w:w="940" w:type="dxa"/>
            <w:tcBorders>
              <w:top w:val="nil"/>
              <w:left w:val="nil"/>
              <w:bottom w:val="single" w:sz="4" w:space="0" w:color="A2C4E0"/>
              <w:right w:val="single" w:sz="4" w:space="0" w:color="A2C4E0"/>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101</w:t>
            </w:r>
          </w:p>
        </w:tc>
      </w:tr>
    </w:tbl>
    <w:p w:rsidR="0072136F" w:rsidRPr="0072136F" w:rsidRDefault="0072136F" w:rsidP="0072136F">
      <w:pPr>
        <w:pStyle w:val="Heading2"/>
        <w:rPr>
          <w:sz w:val="24"/>
          <w:szCs w:val="24"/>
        </w:rPr>
      </w:pPr>
      <w:bookmarkStart w:id="3" w:name="_Toc314838183"/>
      <w:r w:rsidRPr="0072136F">
        <w:rPr>
          <w:sz w:val="24"/>
          <w:szCs w:val="24"/>
        </w:rPr>
        <w:t>Time from Submission to First Decision</w:t>
      </w:r>
      <w:bookmarkEnd w:id="3"/>
      <w:r w:rsidRPr="0072136F">
        <w:rPr>
          <w:sz w:val="24"/>
          <w:szCs w:val="24"/>
        </w:rPr>
        <w:t xml:space="preserve"> Year to Date</w:t>
      </w:r>
    </w:p>
    <w:tbl>
      <w:tblPr>
        <w:tblW w:w="7930" w:type="dxa"/>
        <w:tblInd w:w="108" w:type="dxa"/>
        <w:tblLook w:val="04A0" w:firstRow="1" w:lastRow="0" w:firstColumn="1" w:lastColumn="0" w:noHBand="0" w:noVBand="1"/>
      </w:tblPr>
      <w:tblGrid>
        <w:gridCol w:w="2458"/>
        <w:gridCol w:w="2476"/>
        <w:gridCol w:w="1622"/>
        <w:gridCol w:w="1374"/>
      </w:tblGrid>
      <w:tr w:rsidR="0072136F" w:rsidRPr="0072136F" w:rsidTr="001E33F1">
        <w:trPr>
          <w:trHeight w:val="292"/>
        </w:trPr>
        <w:tc>
          <w:tcPr>
            <w:tcW w:w="2458" w:type="dxa"/>
            <w:tcBorders>
              <w:top w:val="nil"/>
              <w:left w:val="nil"/>
              <w:bottom w:val="nil"/>
              <w:right w:val="nil"/>
            </w:tcBorders>
            <w:shd w:val="clear" w:color="auto" w:fill="auto"/>
            <w:noWrap/>
            <w:hideMark/>
          </w:tcPr>
          <w:p w:rsidR="0072136F" w:rsidRPr="0072136F" w:rsidRDefault="0072136F" w:rsidP="001E33F1">
            <w:pPr>
              <w:rPr>
                <w:sz w:val="24"/>
                <w:szCs w:val="24"/>
              </w:rPr>
            </w:pPr>
            <w:r w:rsidRPr="0072136F">
              <w:rPr>
                <w:noProof/>
                <w:sz w:val="24"/>
                <w:szCs w:val="24"/>
                <w:lang w:val="en-GB"/>
              </w:rPr>
              <w:drawing>
                <wp:anchor distT="0" distB="0" distL="114300" distR="114300" simplePos="0" relativeHeight="251659264" behindDoc="0" locked="0" layoutInCell="1" allowOverlap="1" wp14:anchorId="4DDE0F15" wp14:editId="5AF5898B">
                  <wp:simplePos x="0" y="0"/>
                  <wp:positionH relativeFrom="column">
                    <wp:posOffset>0</wp:posOffset>
                  </wp:positionH>
                  <wp:positionV relativeFrom="paragraph">
                    <wp:posOffset>0</wp:posOffset>
                  </wp:positionV>
                  <wp:extent cx="114300" cy="95250"/>
                  <wp:effectExtent l="0" t="0" r="0" b="0"/>
                  <wp:wrapNone/>
                  <wp:docPr id="6" name="Picture 3"/>
                  <wp:cNvGraphicFramePr/>
                  <a:graphic xmlns:a="http://schemas.openxmlformats.org/drawingml/2006/main">
                    <a:graphicData uri="http://schemas.openxmlformats.org/drawingml/2006/picture">
                      <pic:pic xmlns:pic="http://schemas.openxmlformats.org/drawingml/2006/picture">
                        <pic:nvPicPr>
                          <pic:cNvPr id="1027" name="Picture 3" descr="http://reports01.manuscriptcentral.com:80/cognos10/skins/corporate/qs/images/mnu_sort_asc.gif"/>
                          <pic:cNvPicPr>
                            <a:picLocks noChangeAspect="1" noChangeArrowheads="1"/>
                          </pic:cNvPicPr>
                        </pic:nvPicPr>
                        <pic:blipFill>
                          <a:blip r:link="rId17" cstate="print"/>
                          <a:srcRect/>
                          <a:stretch>
                            <a:fillRect/>
                          </a:stretch>
                        </pic:blipFill>
                        <pic:spPr bwMode="auto">
                          <a:xfrm>
                            <a:off x="0" y="0"/>
                            <a:ext cx="95250" cy="95250"/>
                          </a:xfrm>
                          <a:prstGeom prst="rect">
                            <a:avLst/>
                          </a:prstGeom>
                          <a:noFill/>
                        </pic:spPr>
                      </pic:pic>
                    </a:graphicData>
                  </a:graphic>
                </wp:anchor>
              </w:drawing>
            </w:r>
          </w:p>
          <w:tbl>
            <w:tblPr>
              <w:tblW w:w="0" w:type="auto"/>
              <w:tblCellSpacing w:w="0" w:type="dxa"/>
              <w:tblInd w:w="1" w:type="dxa"/>
              <w:tblCellMar>
                <w:left w:w="0" w:type="dxa"/>
                <w:right w:w="0" w:type="dxa"/>
              </w:tblCellMar>
              <w:tblLook w:val="04A0" w:firstRow="1" w:lastRow="0" w:firstColumn="1" w:lastColumn="0" w:noHBand="0" w:noVBand="1"/>
            </w:tblPr>
            <w:tblGrid>
              <w:gridCol w:w="2179"/>
            </w:tblGrid>
            <w:tr w:rsidR="0072136F" w:rsidRPr="0072136F" w:rsidTr="001E33F1">
              <w:trPr>
                <w:trHeight w:val="292"/>
                <w:tblCellSpacing w:w="0" w:type="dxa"/>
              </w:trPr>
              <w:tc>
                <w:tcPr>
                  <w:tcW w:w="2179" w:type="dxa"/>
                  <w:tcBorders>
                    <w:top w:val="single" w:sz="4" w:space="0" w:color="608BB4"/>
                    <w:left w:val="single" w:sz="4" w:space="0" w:color="608BB4"/>
                    <w:bottom w:val="single" w:sz="4" w:space="0" w:color="608BB4"/>
                    <w:right w:val="single" w:sz="4" w:space="0" w:color="608BB4"/>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Editor</w:t>
                  </w:r>
                </w:p>
              </w:tc>
            </w:tr>
          </w:tbl>
          <w:p w:rsidR="0072136F" w:rsidRPr="0072136F" w:rsidRDefault="0072136F" w:rsidP="001E33F1">
            <w:pPr>
              <w:rPr>
                <w:sz w:val="24"/>
                <w:szCs w:val="24"/>
              </w:rPr>
            </w:pPr>
          </w:p>
        </w:tc>
        <w:tc>
          <w:tcPr>
            <w:tcW w:w="2476" w:type="dxa"/>
            <w:tcBorders>
              <w:top w:val="single" w:sz="4" w:space="0" w:color="608BB4"/>
              <w:left w:val="nil"/>
              <w:bottom w:val="single" w:sz="4" w:space="0" w:color="608BB4"/>
              <w:right w:val="single" w:sz="4" w:space="0" w:color="608BB4"/>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Decision</w:t>
            </w:r>
          </w:p>
        </w:tc>
        <w:tc>
          <w:tcPr>
            <w:tcW w:w="1622" w:type="dxa"/>
            <w:tcBorders>
              <w:top w:val="single" w:sz="4" w:space="0" w:color="608BB4"/>
              <w:left w:val="nil"/>
              <w:bottom w:val="single" w:sz="4" w:space="0" w:color="608BB4"/>
              <w:right w:val="single" w:sz="4" w:space="0" w:color="608BB4"/>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Number of Manuscripts</w:t>
            </w:r>
          </w:p>
        </w:tc>
        <w:tc>
          <w:tcPr>
            <w:tcW w:w="1374" w:type="dxa"/>
            <w:tcBorders>
              <w:top w:val="single" w:sz="4" w:space="0" w:color="608BB4"/>
              <w:left w:val="nil"/>
              <w:bottom w:val="single" w:sz="4" w:space="0" w:color="608BB4"/>
              <w:right w:val="single" w:sz="4" w:space="0" w:color="608BB4"/>
            </w:tcBorders>
            <w:shd w:val="clear" w:color="000000" w:fill="BFD2E2"/>
            <w:hideMark/>
          </w:tcPr>
          <w:p w:rsidR="0072136F" w:rsidRPr="0072136F" w:rsidRDefault="0072136F" w:rsidP="001E33F1">
            <w:pPr>
              <w:jc w:val="center"/>
              <w:rPr>
                <w:color w:val="000000"/>
                <w:sz w:val="24"/>
                <w:szCs w:val="24"/>
              </w:rPr>
            </w:pPr>
            <w:r w:rsidRPr="0072136F">
              <w:rPr>
                <w:color w:val="000000"/>
                <w:sz w:val="24"/>
                <w:szCs w:val="24"/>
              </w:rPr>
              <w:t>Average Days</w:t>
            </w:r>
          </w:p>
        </w:tc>
      </w:tr>
      <w:tr w:rsidR="0072136F" w:rsidRPr="0072136F" w:rsidTr="001E33F1">
        <w:trPr>
          <w:trHeight w:val="292"/>
        </w:trPr>
        <w:tc>
          <w:tcPr>
            <w:tcW w:w="2458" w:type="dxa"/>
            <w:tcBorders>
              <w:top w:val="single" w:sz="4" w:space="0" w:color="CCCCCC"/>
              <w:left w:val="single" w:sz="4" w:space="0" w:color="CCCCCC"/>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Baycroft, Tim</w:t>
            </w:r>
          </w:p>
        </w:tc>
        <w:tc>
          <w:tcPr>
            <w:tcW w:w="2476" w:type="dxa"/>
            <w:tcBorders>
              <w:top w:val="single" w:sz="4" w:space="0" w:color="CCCCCC"/>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Accept</w:t>
            </w:r>
          </w:p>
        </w:tc>
        <w:tc>
          <w:tcPr>
            <w:tcW w:w="1622"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63</w:t>
            </w:r>
          </w:p>
        </w:tc>
        <w:tc>
          <w:tcPr>
            <w:tcW w:w="1374" w:type="dxa"/>
            <w:tcBorders>
              <w:top w:val="single" w:sz="4" w:space="0" w:color="CCCCCC"/>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47.95</w:t>
            </w:r>
          </w:p>
        </w:tc>
      </w:tr>
      <w:tr w:rsidR="0072136F" w:rsidRPr="0072136F" w:rsidTr="001E33F1">
        <w:trPr>
          <w:trHeight w:val="292"/>
        </w:trPr>
        <w:tc>
          <w:tcPr>
            <w:tcW w:w="4934" w:type="dxa"/>
            <w:gridSpan w:val="2"/>
            <w:tcBorders>
              <w:top w:val="single" w:sz="4" w:space="0" w:color="CCCCCC"/>
              <w:left w:val="single" w:sz="4" w:space="0" w:color="CCCCCC"/>
              <w:bottom w:val="single" w:sz="4" w:space="0" w:color="CCCCCC"/>
              <w:right w:val="single" w:sz="4" w:space="0" w:color="CCCCCC"/>
            </w:tcBorders>
            <w:shd w:val="clear" w:color="000000" w:fill="F2F1F1"/>
            <w:hideMark/>
          </w:tcPr>
          <w:p w:rsidR="0072136F" w:rsidRPr="0072136F" w:rsidRDefault="0072136F" w:rsidP="001E33F1">
            <w:pPr>
              <w:rPr>
                <w:b/>
                <w:bCs/>
                <w:color w:val="000000"/>
                <w:sz w:val="24"/>
                <w:szCs w:val="24"/>
              </w:rPr>
            </w:pPr>
            <w:r w:rsidRPr="0072136F">
              <w:rPr>
                <w:b/>
                <w:bCs/>
                <w:color w:val="000000"/>
                <w:sz w:val="24"/>
                <w:szCs w:val="24"/>
              </w:rPr>
              <w:t>Baycroft, Tim</w:t>
            </w:r>
          </w:p>
        </w:tc>
        <w:tc>
          <w:tcPr>
            <w:tcW w:w="1622" w:type="dxa"/>
            <w:tcBorders>
              <w:top w:val="nil"/>
              <w:left w:val="nil"/>
              <w:bottom w:val="single" w:sz="4" w:space="0" w:color="CCCCCC"/>
              <w:right w:val="single" w:sz="4" w:space="0" w:color="CCCCCC"/>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63</w:t>
            </w:r>
          </w:p>
        </w:tc>
        <w:tc>
          <w:tcPr>
            <w:tcW w:w="1374" w:type="dxa"/>
            <w:tcBorders>
              <w:top w:val="nil"/>
              <w:left w:val="nil"/>
              <w:bottom w:val="single" w:sz="4" w:space="0" w:color="CCCCCC"/>
              <w:right w:val="single" w:sz="4" w:space="0" w:color="CCCCCC"/>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47.95</w:t>
            </w:r>
          </w:p>
        </w:tc>
      </w:tr>
      <w:tr w:rsidR="0072136F" w:rsidRPr="0072136F" w:rsidTr="001E33F1">
        <w:trPr>
          <w:trHeight w:val="292"/>
        </w:trPr>
        <w:tc>
          <w:tcPr>
            <w:tcW w:w="2458" w:type="dxa"/>
            <w:vMerge w:val="restart"/>
            <w:tcBorders>
              <w:top w:val="nil"/>
              <w:left w:val="single" w:sz="4" w:space="0" w:color="CCCCCC"/>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Roberts, Penny</w:t>
            </w:r>
          </w:p>
        </w:tc>
        <w:tc>
          <w:tcPr>
            <w:tcW w:w="2476" w:type="dxa"/>
            <w:tcBorders>
              <w:top w:val="nil"/>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Major Revision</w:t>
            </w:r>
          </w:p>
        </w:tc>
        <w:tc>
          <w:tcPr>
            <w:tcW w:w="1622"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137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91.60</w:t>
            </w:r>
          </w:p>
        </w:tc>
      </w:tr>
      <w:tr w:rsidR="0072136F" w:rsidRPr="0072136F" w:rsidTr="001E33F1">
        <w:trPr>
          <w:trHeight w:val="292"/>
        </w:trPr>
        <w:tc>
          <w:tcPr>
            <w:tcW w:w="2458" w:type="dxa"/>
            <w:vMerge/>
            <w:tcBorders>
              <w:top w:val="nil"/>
              <w:left w:val="single" w:sz="4" w:space="0" w:color="CCCCCC"/>
              <w:bottom w:val="single" w:sz="4" w:space="0" w:color="CCCCCC"/>
              <w:right w:val="single" w:sz="4" w:space="0" w:color="CCCCCC"/>
            </w:tcBorders>
            <w:vAlign w:val="center"/>
            <w:hideMark/>
          </w:tcPr>
          <w:p w:rsidR="0072136F" w:rsidRPr="0072136F" w:rsidRDefault="0072136F" w:rsidP="001E33F1">
            <w:pPr>
              <w:rPr>
                <w:color w:val="000000"/>
                <w:sz w:val="24"/>
                <w:szCs w:val="24"/>
              </w:rPr>
            </w:pPr>
          </w:p>
        </w:tc>
        <w:tc>
          <w:tcPr>
            <w:tcW w:w="2476" w:type="dxa"/>
            <w:tcBorders>
              <w:top w:val="nil"/>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Minor Revision</w:t>
            </w:r>
          </w:p>
        </w:tc>
        <w:tc>
          <w:tcPr>
            <w:tcW w:w="1622"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w:t>
            </w:r>
          </w:p>
        </w:tc>
        <w:tc>
          <w:tcPr>
            <w:tcW w:w="137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23.00</w:t>
            </w:r>
          </w:p>
        </w:tc>
      </w:tr>
      <w:tr w:rsidR="0072136F" w:rsidRPr="0072136F" w:rsidTr="001E33F1">
        <w:trPr>
          <w:trHeight w:val="292"/>
        </w:trPr>
        <w:tc>
          <w:tcPr>
            <w:tcW w:w="2458" w:type="dxa"/>
            <w:vMerge/>
            <w:tcBorders>
              <w:top w:val="nil"/>
              <w:left w:val="single" w:sz="4" w:space="0" w:color="CCCCCC"/>
              <w:bottom w:val="single" w:sz="4" w:space="0" w:color="CCCCCC"/>
              <w:right w:val="single" w:sz="4" w:space="0" w:color="CCCCCC"/>
            </w:tcBorders>
            <w:vAlign w:val="center"/>
            <w:hideMark/>
          </w:tcPr>
          <w:p w:rsidR="0072136F" w:rsidRPr="0072136F" w:rsidRDefault="0072136F" w:rsidP="001E33F1">
            <w:pPr>
              <w:rPr>
                <w:color w:val="000000"/>
                <w:sz w:val="24"/>
                <w:szCs w:val="24"/>
              </w:rPr>
            </w:pPr>
          </w:p>
        </w:tc>
        <w:tc>
          <w:tcPr>
            <w:tcW w:w="2476" w:type="dxa"/>
            <w:tcBorders>
              <w:top w:val="nil"/>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Reject</w:t>
            </w:r>
          </w:p>
        </w:tc>
        <w:tc>
          <w:tcPr>
            <w:tcW w:w="1622"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137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73.04</w:t>
            </w:r>
          </w:p>
        </w:tc>
      </w:tr>
      <w:tr w:rsidR="0072136F" w:rsidRPr="0072136F" w:rsidTr="001E33F1">
        <w:trPr>
          <w:trHeight w:val="292"/>
        </w:trPr>
        <w:tc>
          <w:tcPr>
            <w:tcW w:w="4934" w:type="dxa"/>
            <w:gridSpan w:val="2"/>
            <w:tcBorders>
              <w:top w:val="single" w:sz="4" w:space="0" w:color="CCCCCC"/>
              <w:left w:val="single" w:sz="4" w:space="0" w:color="CCCCCC"/>
              <w:bottom w:val="single" w:sz="4" w:space="0" w:color="CCCCCC"/>
              <w:right w:val="single" w:sz="4" w:space="0" w:color="CCCCCC"/>
            </w:tcBorders>
            <w:shd w:val="clear" w:color="000000" w:fill="F2F1F1"/>
            <w:hideMark/>
          </w:tcPr>
          <w:p w:rsidR="0072136F" w:rsidRPr="0072136F" w:rsidRDefault="0072136F" w:rsidP="001E33F1">
            <w:pPr>
              <w:rPr>
                <w:b/>
                <w:bCs/>
                <w:color w:val="000000"/>
                <w:sz w:val="24"/>
                <w:szCs w:val="24"/>
              </w:rPr>
            </w:pPr>
            <w:r w:rsidRPr="0072136F">
              <w:rPr>
                <w:b/>
                <w:bCs/>
                <w:color w:val="000000"/>
                <w:sz w:val="24"/>
                <w:szCs w:val="24"/>
              </w:rPr>
              <w:t>Roberts, Penny</w:t>
            </w:r>
          </w:p>
        </w:tc>
        <w:tc>
          <w:tcPr>
            <w:tcW w:w="1622" w:type="dxa"/>
            <w:tcBorders>
              <w:top w:val="nil"/>
              <w:left w:val="nil"/>
              <w:bottom w:val="single" w:sz="4" w:space="0" w:color="CCCCCC"/>
              <w:right w:val="single" w:sz="4" w:space="0" w:color="CCCCCC"/>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13</w:t>
            </w:r>
          </w:p>
        </w:tc>
        <w:tc>
          <w:tcPr>
            <w:tcW w:w="1374" w:type="dxa"/>
            <w:tcBorders>
              <w:top w:val="nil"/>
              <w:left w:val="nil"/>
              <w:bottom w:val="single" w:sz="4" w:space="0" w:color="CCCCCC"/>
              <w:right w:val="single" w:sz="4" w:space="0" w:color="CCCCCC"/>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68.70</w:t>
            </w:r>
          </w:p>
        </w:tc>
      </w:tr>
      <w:tr w:rsidR="0072136F" w:rsidRPr="0072136F" w:rsidTr="001E33F1">
        <w:trPr>
          <w:trHeight w:val="292"/>
        </w:trPr>
        <w:tc>
          <w:tcPr>
            <w:tcW w:w="2458" w:type="dxa"/>
            <w:vMerge w:val="restart"/>
            <w:tcBorders>
              <w:top w:val="nil"/>
              <w:left w:val="single" w:sz="4" w:space="0" w:color="CCCCCC"/>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Wright, Julian</w:t>
            </w:r>
          </w:p>
        </w:tc>
        <w:tc>
          <w:tcPr>
            <w:tcW w:w="2476" w:type="dxa"/>
            <w:tcBorders>
              <w:top w:val="nil"/>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Accept</w:t>
            </w:r>
          </w:p>
        </w:tc>
        <w:tc>
          <w:tcPr>
            <w:tcW w:w="1622"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137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9.60</w:t>
            </w:r>
          </w:p>
        </w:tc>
      </w:tr>
      <w:tr w:rsidR="0072136F" w:rsidRPr="0072136F" w:rsidTr="001E33F1">
        <w:trPr>
          <w:trHeight w:val="292"/>
        </w:trPr>
        <w:tc>
          <w:tcPr>
            <w:tcW w:w="2458" w:type="dxa"/>
            <w:vMerge/>
            <w:tcBorders>
              <w:top w:val="nil"/>
              <w:left w:val="single" w:sz="4" w:space="0" w:color="CCCCCC"/>
              <w:bottom w:val="single" w:sz="4" w:space="0" w:color="CCCCCC"/>
              <w:right w:val="single" w:sz="4" w:space="0" w:color="CCCCCC"/>
            </w:tcBorders>
            <w:vAlign w:val="center"/>
            <w:hideMark/>
          </w:tcPr>
          <w:p w:rsidR="0072136F" w:rsidRPr="0072136F" w:rsidRDefault="0072136F" w:rsidP="001E33F1">
            <w:pPr>
              <w:rPr>
                <w:color w:val="000000"/>
                <w:sz w:val="24"/>
                <w:szCs w:val="24"/>
              </w:rPr>
            </w:pPr>
          </w:p>
        </w:tc>
        <w:tc>
          <w:tcPr>
            <w:tcW w:w="2476" w:type="dxa"/>
            <w:tcBorders>
              <w:top w:val="nil"/>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Major Revision</w:t>
            </w:r>
          </w:p>
        </w:tc>
        <w:tc>
          <w:tcPr>
            <w:tcW w:w="1622"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5</w:t>
            </w:r>
          </w:p>
        </w:tc>
        <w:tc>
          <w:tcPr>
            <w:tcW w:w="137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69.20</w:t>
            </w:r>
          </w:p>
        </w:tc>
      </w:tr>
      <w:tr w:rsidR="0072136F" w:rsidRPr="0072136F" w:rsidTr="001E33F1">
        <w:trPr>
          <w:trHeight w:val="292"/>
        </w:trPr>
        <w:tc>
          <w:tcPr>
            <w:tcW w:w="2458" w:type="dxa"/>
            <w:vMerge/>
            <w:tcBorders>
              <w:top w:val="nil"/>
              <w:left w:val="single" w:sz="4" w:space="0" w:color="CCCCCC"/>
              <w:bottom w:val="single" w:sz="4" w:space="0" w:color="CCCCCC"/>
              <w:right w:val="single" w:sz="4" w:space="0" w:color="CCCCCC"/>
            </w:tcBorders>
            <w:vAlign w:val="center"/>
            <w:hideMark/>
          </w:tcPr>
          <w:p w:rsidR="0072136F" w:rsidRPr="0072136F" w:rsidRDefault="0072136F" w:rsidP="001E33F1">
            <w:pPr>
              <w:rPr>
                <w:color w:val="000000"/>
                <w:sz w:val="24"/>
                <w:szCs w:val="24"/>
              </w:rPr>
            </w:pPr>
          </w:p>
        </w:tc>
        <w:tc>
          <w:tcPr>
            <w:tcW w:w="2476" w:type="dxa"/>
            <w:tcBorders>
              <w:top w:val="nil"/>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Minor Revision</w:t>
            </w:r>
          </w:p>
        </w:tc>
        <w:tc>
          <w:tcPr>
            <w:tcW w:w="1622"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9</w:t>
            </w:r>
          </w:p>
        </w:tc>
        <w:tc>
          <w:tcPr>
            <w:tcW w:w="137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87.11</w:t>
            </w:r>
          </w:p>
        </w:tc>
      </w:tr>
      <w:tr w:rsidR="0072136F" w:rsidRPr="0072136F" w:rsidTr="001E33F1">
        <w:trPr>
          <w:trHeight w:val="292"/>
        </w:trPr>
        <w:tc>
          <w:tcPr>
            <w:tcW w:w="2458" w:type="dxa"/>
            <w:vMerge/>
            <w:tcBorders>
              <w:top w:val="nil"/>
              <w:left w:val="single" w:sz="4" w:space="0" w:color="CCCCCC"/>
              <w:bottom w:val="single" w:sz="4" w:space="0" w:color="CCCCCC"/>
              <w:right w:val="single" w:sz="4" w:space="0" w:color="CCCCCC"/>
            </w:tcBorders>
            <w:vAlign w:val="center"/>
            <w:hideMark/>
          </w:tcPr>
          <w:p w:rsidR="0072136F" w:rsidRPr="0072136F" w:rsidRDefault="0072136F" w:rsidP="001E33F1">
            <w:pPr>
              <w:rPr>
                <w:color w:val="000000"/>
                <w:sz w:val="24"/>
                <w:szCs w:val="24"/>
              </w:rPr>
            </w:pPr>
          </w:p>
        </w:tc>
        <w:tc>
          <w:tcPr>
            <w:tcW w:w="2476" w:type="dxa"/>
            <w:tcBorders>
              <w:top w:val="nil"/>
              <w:left w:val="nil"/>
              <w:bottom w:val="single" w:sz="4" w:space="0" w:color="CCCCCC"/>
              <w:right w:val="single" w:sz="4" w:space="0" w:color="CCCCCC"/>
            </w:tcBorders>
            <w:shd w:val="clear" w:color="auto" w:fill="auto"/>
            <w:hideMark/>
          </w:tcPr>
          <w:p w:rsidR="0072136F" w:rsidRPr="0072136F" w:rsidRDefault="0072136F" w:rsidP="001E33F1">
            <w:pPr>
              <w:rPr>
                <w:color w:val="000000"/>
                <w:sz w:val="24"/>
                <w:szCs w:val="24"/>
              </w:rPr>
            </w:pPr>
            <w:r w:rsidRPr="0072136F">
              <w:rPr>
                <w:color w:val="000000"/>
                <w:sz w:val="24"/>
                <w:szCs w:val="24"/>
              </w:rPr>
              <w:t>Reject</w:t>
            </w:r>
          </w:p>
        </w:tc>
        <w:tc>
          <w:tcPr>
            <w:tcW w:w="1622"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6</w:t>
            </w:r>
          </w:p>
        </w:tc>
        <w:tc>
          <w:tcPr>
            <w:tcW w:w="1374" w:type="dxa"/>
            <w:tcBorders>
              <w:top w:val="nil"/>
              <w:left w:val="nil"/>
              <w:bottom w:val="single" w:sz="4" w:space="0" w:color="CCCCCC"/>
              <w:right w:val="single" w:sz="4" w:space="0" w:color="CCCCCC"/>
            </w:tcBorders>
            <w:shd w:val="clear" w:color="auto" w:fill="auto"/>
            <w:noWrap/>
            <w:hideMark/>
          </w:tcPr>
          <w:p w:rsidR="0072136F" w:rsidRPr="0072136F" w:rsidRDefault="0072136F" w:rsidP="001E33F1">
            <w:pPr>
              <w:jc w:val="right"/>
              <w:rPr>
                <w:color w:val="000000"/>
                <w:sz w:val="24"/>
                <w:szCs w:val="24"/>
              </w:rPr>
            </w:pPr>
            <w:r w:rsidRPr="0072136F">
              <w:rPr>
                <w:color w:val="000000"/>
                <w:sz w:val="24"/>
                <w:szCs w:val="24"/>
              </w:rPr>
              <w:t>33.96</w:t>
            </w:r>
          </w:p>
        </w:tc>
      </w:tr>
      <w:tr w:rsidR="0072136F" w:rsidRPr="0072136F" w:rsidTr="001E33F1">
        <w:trPr>
          <w:trHeight w:val="292"/>
        </w:trPr>
        <w:tc>
          <w:tcPr>
            <w:tcW w:w="4934" w:type="dxa"/>
            <w:gridSpan w:val="2"/>
            <w:tcBorders>
              <w:top w:val="single" w:sz="4" w:space="0" w:color="CCCCCC"/>
              <w:left w:val="single" w:sz="4" w:space="0" w:color="CCCCCC"/>
              <w:bottom w:val="single" w:sz="4" w:space="0" w:color="CCCCCC"/>
              <w:right w:val="single" w:sz="4" w:space="0" w:color="CCCCCC"/>
            </w:tcBorders>
            <w:shd w:val="clear" w:color="000000" w:fill="F2F1F1"/>
            <w:hideMark/>
          </w:tcPr>
          <w:p w:rsidR="0072136F" w:rsidRPr="0072136F" w:rsidRDefault="0072136F" w:rsidP="001E33F1">
            <w:pPr>
              <w:rPr>
                <w:b/>
                <w:bCs/>
                <w:color w:val="000000"/>
                <w:sz w:val="24"/>
                <w:szCs w:val="24"/>
              </w:rPr>
            </w:pPr>
            <w:r w:rsidRPr="0072136F">
              <w:rPr>
                <w:b/>
                <w:bCs/>
                <w:color w:val="000000"/>
                <w:sz w:val="24"/>
                <w:szCs w:val="24"/>
              </w:rPr>
              <w:t>Wright, Julian</w:t>
            </w:r>
          </w:p>
        </w:tc>
        <w:tc>
          <w:tcPr>
            <w:tcW w:w="1622" w:type="dxa"/>
            <w:tcBorders>
              <w:top w:val="nil"/>
              <w:left w:val="nil"/>
              <w:bottom w:val="single" w:sz="4" w:space="0" w:color="CCCCCC"/>
              <w:right w:val="single" w:sz="4" w:space="0" w:color="CCCCCC"/>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25</w:t>
            </w:r>
          </w:p>
        </w:tc>
        <w:tc>
          <w:tcPr>
            <w:tcW w:w="1374" w:type="dxa"/>
            <w:tcBorders>
              <w:top w:val="nil"/>
              <w:left w:val="nil"/>
              <w:bottom w:val="single" w:sz="4" w:space="0" w:color="CCCCCC"/>
              <w:right w:val="single" w:sz="4" w:space="0" w:color="CCCCCC"/>
            </w:tcBorders>
            <w:shd w:val="clear" w:color="000000" w:fill="F2F1F1"/>
            <w:noWrap/>
            <w:hideMark/>
          </w:tcPr>
          <w:p w:rsidR="0072136F" w:rsidRPr="0072136F" w:rsidRDefault="0072136F" w:rsidP="001E33F1">
            <w:pPr>
              <w:jc w:val="right"/>
              <w:rPr>
                <w:b/>
                <w:bCs/>
                <w:color w:val="000000"/>
                <w:sz w:val="24"/>
                <w:szCs w:val="24"/>
              </w:rPr>
            </w:pPr>
            <w:r w:rsidRPr="0072136F">
              <w:rPr>
                <w:b/>
                <w:bCs/>
                <w:color w:val="000000"/>
                <w:sz w:val="24"/>
                <w:szCs w:val="24"/>
              </w:rPr>
              <w:t>60.15</w:t>
            </w:r>
          </w:p>
        </w:tc>
      </w:tr>
      <w:tr w:rsidR="0072136F" w:rsidRPr="0072136F" w:rsidTr="001E33F1">
        <w:trPr>
          <w:trHeight w:val="292"/>
        </w:trPr>
        <w:tc>
          <w:tcPr>
            <w:tcW w:w="4934" w:type="dxa"/>
            <w:gridSpan w:val="2"/>
            <w:tcBorders>
              <w:top w:val="single" w:sz="4" w:space="0" w:color="CCCCCC"/>
              <w:left w:val="single" w:sz="4" w:space="0" w:color="CCCCCC"/>
              <w:bottom w:val="single" w:sz="4" w:space="0" w:color="CCCCCC"/>
              <w:right w:val="single" w:sz="4" w:space="0" w:color="CCCCCC"/>
            </w:tcBorders>
            <w:shd w:val="clear" w:color="000000" w:fill="DFDFDF"/>
            <w:hideMark/>
          </w:tcPr>
          <w:p w:rsidR="0072136F" w:rsidRPr="0072136F" w:rsidRDefault="0072136F" w:rsidP="001E33F1">
            <w:pPr>
              <w:rPr>
                <w:b/>
                <w:bCs/>
                <w:color w:val="000000"/>
                <w:sz w:val="24"/>
                <w:szCs w:val="24"/>
              </w:rPr>
            </w:pPr>
            <w:r w:rsidRPr="0072136F">
              <w:rPr>
                <w:b/>
                <w:bCs/>
                <w:color w:val="000000"/>
                <w:sz w:val="24"/>
                <w:szCs w:val="24"/>
              </w:rPr>
              <w:t>Summary</w:t>
            </w:r>
          </w:p>
        </w:tc>
        <w:tc>
          <w:tcPr>
            <w:tcW w:w="1622" w:type="dxa"/>
            <w:tcBorders>
              <w:top w:val="nil"/>
              <w:left w:val="nil"/>
              <w:bottom w:val="single" w:sz="4" w:space="0" w:color="CCCCCC"/>
              <w:right w:val="single" w:sz="4" w:space="0" w:color="CCCCCC"/>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101</w:t>
            </w:r>
          </w:p>
        </w:tc>
        <w:tc>
          <w:tcPr>
            <w:tcW w:w="1374" w:type="dxa"/>
            <w:tcBorders>
              <w:top w:val="nil"/>
              <w:left w:val="nil"/>
              <w:bottom w:val="single" w:sz="4" w:space="0" w:color="CCCCCC"/>
              <w:right w:val="single" w:sz="4" w:space="0" w:color="CCCCCC"/>
            </w:tcBorders>
            <w:shd w:val="clear" w:color="000000" w:fill="DFDFDF"/>
            <w:noWrap/>
            <w:hideMark/>
          </w:tcPr>
          <w:p w:rsidR="0072136F" w:rsidRPr="0072136F" w:rsidRDefault="0072136F" w:rsidP="001E33F1">
            <w:pPr>
              <w:jc w:val="right"/>
              <w:rPr>
                <w:b/>
                <w:bCs/>
                <w:color w:val="000000"/>
                <w:sz w:val="24"/>
                <w:szCs w:val="24"/>
              </w:rPr>
            </w:pPr>
            <w:r w:rsidRPr="0072136F">
              <w:rPr>
                <w:b/>
                <w:bCs/>
                <w:color w:val="000000"/>
                <w:sz w:val="24"/>
                <w:szCs w:val="24"/>
              </w:rPr>
              <w:t>56.94</w:t>
            </w:r>
          </w:p>
        </w:tc>
      </w:tr>
    </w:tbl>
    <w:p w:rsidR="0072136F" w:rsidRPr="0072136F" w:rsidRDefault="0072136F" w:rsidP="0072136F">
      <w:pPr>
        <w:rPr>
          <w:sz w:val="24"/>
          <w:szCs w:val="24"/>
        </w:rPr>
      </w:pPr>
    </w:p>
    <w:p w:rsidR="0072136F" w:rsidRPr="0072136F" w:rsidRDefault="0072136F" w:rsidP="0072136F">
      <w:pPr>
        <w:rPr>
          <w:sz w:val="24"/>
          <w:szCs w:val="24"/>
        </w:rPr>
      </w:pPr>
    </w:p>
    <w:p w:rsidR="0072136F" w:rsidRPr="0072136F" w:rsidRDefault="0072136F" w:rsidP="0072136F">
      <w:pPr>
        <w:pStyle w:val="Default"/>
        <w:rPr>
          <w:rFonts w:ascii="Times New Roman" w:hAnsi="Times New Roman" w:cs="Times New Roman"/>
          <w:b/>
        </w:rPr>
      </w:pPr>
      <w:r w:rsidRPr="0072136F">
        <w:rPr>
          <w:rFonts w:ascii="Times New Roman" w:hAnsi="Times New Roman" w:cs="Times New Roman"/>
          <w:b/>
        </w:rPr>
        <w:t xml:space="preserve">AVERAGE TIME FROM SUBMISSION TO FIRST DECISION FOR 2013 IS 64.42 DAYS </w:t>
      </w:r>
    </w:p>
    <w:p w:rsidR="0072136F" w:rsidRPr="0072136F" w:rsidRDefault="0072136F" w:rsidP="0072136F">
      <w:pPr>
        <w:pStyle w:val="Default"/>
        <w:rPr>
          <w:rFonts w:ascii="Times New Roman" w:hAnsi="Times New Roman" w:cs="Times New Roman"/>
          <w:b/>
        </w:rPr>
      </w:pPr>
    </w:p>
    <w:p w:rsidR="0072136F" w:rsidRPr="0072136F" w:rsidRDefault="0072136F" w:rsidP="0072136F">
      <w:pPr>
        <w:rPr>
          <w:sz w:val="24"/>
          <w:szCs w:val="24"/>
        </w:rPr>
      </w:pPr>
      <w:r w:rsidRPr="0072136F">
        <w:rPr>
          <w:b/>
          <w:sz w:val="24"/>
          <w:szCs w:val="24"/>
        </w:rPr>
        <w:t>The average time from Submission to Decision for Book Reviews is 47.95 days</w:t>
      </w:r>
    </w:p>
    <w:p w:rsidR="0072136F" w:rsidRPr="0072136F" w:rsidRDefault="0072136F" w:rsidP="00600596">
      <w:pPr>
        <w:rPr>
          <w:sz w:val="24"/>
          <w:szCs w:val="24"/>
        </w:rPr>
      </w:pPr>
    </w:p>
    <w:sectPr w:rsidR="0072136F" w:rsidRPr="0072136F" w:rsidSect="000050F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27" w:rsidRDefault="00041027">
      <w:r>
        <w:separator/>
      </w:r>
    </w:p>
  </w:endnote>
  <w:endnote w:type="continuationSeparator" w:id="0">
    <w:p w:rsidR="00041027" w:rsidRDefault="00041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F1" w:rsidRDefault="001E33F1" w:rsidP="001E3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33F1" w:rsidRDefault="001E33F1" w:rsidP="001E33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F1" w:rsidRDefault="001E33F1" w:rsidP="001E33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49C5">
      <w:rPr>
        <w:rStyle w:val="PageNumber"/>
        <w:noProof/>
      </w:rPr>
      <w:t>1</w:t>
    </w:r>
    <w:r>
      <w:rPr>
        <w:rStyle w:val="PageNumber"/>
      </w:rPr>
      <w:fldChar w:fldCharType="end"/>
    </w:r>
  </w:p>
  <w:p w:rsidR="001E33F1" w:rsidRDefault="001E33F1" w:rsidP="001E33F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3F1" w:rsidRDefault="001E33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953091"/>
      <w:docPartObj>
        <w:docPartGallery w:val="Page Numbers (Bottom of Page)"/>
        <w:docPartUnique/>
      </w:docPartObj>
    </w:sdtPr>
    <w:sdtEndPr>
      <w:rPr>
        <w:color w:val="808080" w:themeColor="background1" w:themeShade="80"/>
        <w:spacing w:val="60"/>
      </w:rPr>
    </w:sdtEndPr>
    <w:sdtContent>
      <w:p w:rsidR="001E33F1" w:rsidRDefault="001E33F1">
        <w:pPr>
          <w:pStyle w:val="Footer"/>
          <w:pBdr>
            <w:top w:val="single" w:sz="4" w:space="1" w:color="D9D9D9" w:themeColor="background1" w:themeShade="D9"/>
          </w:pBdr>
          <w:jc w:val="right"/>
        </w:pPr>
        <w:r>
          <w:fldChar w:fldCharType="begin"/>
        </w:r>
        <w:r>
          <w:instrText xml:space="preserve"> PAGE   \* MERGEFORMAT </w:instrText>
        </w:r>
        <w:r>
          <w:fldChar w:fldCharType="separate"/>
        </w:r>
        <w:r w:rsidR="006249C5">
          <w:rPr>
            <w:noProof/>
          </w:rPr>
          <w:t>11</w:t>
        </w:r>
        <w:r>
          <w:rPr>
            <w:noProof/>
          </w:rPr>
          <w:fldChar w:fldCharType="end"/>
        </w:r>
        <w:r>
          <w:t xml:space="preserve"> | </w:t>
        </w:r>
        <w:r>
          <w:rPr>
            <w:color w:val="808080" w:themeColor="background1" w:themeShade="80"/>
            <w:spacing w:val="60"/>
          </w:rPr>
          <w:t>Page</w:t>
        </w:r>
      </w:p>
    </w:sdtContent>
  </w:sdt>
  <w:p w:rsidR="001E33F1" w:rsidRDefault="001E3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27" w:rsidRDefault="00041027">
      <w:r>
        <w:separator/>
      </w:r>
    </w:p>
  </w:footnote>
  <w:footnote w:type="continuationSeparator" w:id="0">
    <w:p w:rsidR="00041027" w:rsidRDefault="00041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DEF"/>
    <w:multiLevelType w:val="hybridMultilevel"/>
    <w:tmpl w:val="AE347B28"/>
    <w:lvl w:ilvl="0" w:tplc="559E1E8E">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15:restartNumberingAfterBreak="0">
    <w:nsid w:val="20E47126"/>
    <w:multiLevelType w:val="hybridMultilevel"/>
    <w:tmpl w:val="73120F3E"/>
    <w:lvl w:ilvl="0" w:tplc="E59E59C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239F3EE0"/>
    <w:multiLevelType w:val="hybridMultilevel"/>
    <w:tmpl w:val="91029214"/>
    <w:lvl w:ilvl="0" w:tplc="598CC6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7393E"/>
    <w:multiLevelType w:val="singleLevel"/>
    <w:tmpl w:val="677A44CC"/>
    <w:lvl w:ilvl="0">
      <w:start w:val="1"/>
      <w:numFmt w:val="decimal"/>
      <w:lvlText w:val="%1."/>
      <w:lvlJc w:val="left"/>
      <w:pPr>
        <w:tabs>
          <w:tab w:val="num" w:pos="720"/>
        </w:tabs>
        <w:ind w:left="720" w:hanging="720"/>
      </w:pPr>
      <w:rPr>
        <w:rFonts w:hint="default"/>
      </w:rPr>
    </w:lvl>
  </w:abstractNum>
  <w:abstractNum w:abstractNumId="4" w15:restartNumberingAfterBreak="0">
    <w:nsid w:val="33DC391C"/>
    <w:multiLevelType w:val="hybridMultilevel"/>
    <w:tmpl w:val="EEB40F6C"/>
    <w:lvl w:ilvl="0" w:tplc="02DCF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52A4537"/>
    <w:multiLevelType w:val="hybridMultilevel"/>
    <w:tmpl w:val="F2FA0B76"/>
    <w:lvl w:ilvl="0" w:tplc="C0F873B8">
      <w:numFmt w:val="bullet"/>
      <w:lvlText w:val="-"/>
      <w:lvlJc w:val="left"/>
      <w:pPr>
        <w:ind w:left="2160" w:hanging="360"/>
      </w:pPr>
      <w:rPr>
        <w:rFonts w:ascii="Times New Roman" w:eastAsia="Times New Roman" w:hAnsi="Times New Roman" w:cs="Times New Roman"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515D22F4"/>
    <w:multiLevelType w:val="hybridMultilevel"/>
    <w:tmpl w:val="80360F3A"/>
    <w:lvl w:ilvl="0" w:tplc="27F6607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25E0927"/>
    <w:multiLevelType w:val="singleLevel"/>
    <w:tmpl w:val="8FF665D2"/>
    <w:lvl w:ilvl="0">
      <w:start w:val="1"/>
      <w:numFmt w:val="lowerLetter"/>
      <w:lvlText w:val="(%1)"/>
      <w:lvlJc w:val="left"/>
      <w:pPr>
        <w:tabs>
          <w:tab w:val="num" w:pos="1800"/>
        </w:tabs>
        <w:ind w:left="1800" w:hanging="360"/>
      </w:pPr>
      <w:rPr>
        <w:rFonts w:hint="default"/>
      </w:rPr>
    </w:lvl>
  </w:abstractNum>
  <w:abstractNum w:abstractNumId="8" w15:restartNumberingAfterBreak="0">
    <w:nsid w:val="6A6D159C"/>
    <w:multiLevelType w:val="hybridMultilevel"/>
    <w:tmpl w:val="09EC041C"/>
    <w:lvl w:ilvl="0" w:tplc="16F890B6">
      <w:start w:val="1"/>
      <w:numFmt w:val="lowerLetter"/>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789B17C5"/>
    <w:multiLevelType w:val="hybridMultilevel"/>
    <w:tmpl w:val="0A6E89F0"/>
    <w:lvl w:ilvl="0" w:tplc="A670C7F8">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7AB425E8"/>
    <w:multiLevelType w:val="hybridMultilevel"/>
    <w:tmpl w:val="D88CFD56"/>
    <w:lvl w:ilvl="0" w:tplc="C900AD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EEB47AB"/>
    <w:multiLevelType w:val="hybridMultilevel"/>
    <w:tmpl w:val="17CEBD82"/>
    <w:lvl w:ilvl="0" w:tplc="16AE983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3"/>
  </w:num>
  <w:num w:numId="2">
    <w:abstractNumId w:val="7"/>
  </w:num>
  <w:num w:numId="3">
    <w:abstractNumId w:val="8"/>
  </w:num>
  <w:num w:numId="4">
    <w:abstractNumId w:val="1"/>
  </w:num>
  <w:num w:numId="5">
    <w:abstractNumId w:val="11"/>
  </w:num>
  <w:num w:numId="6">
    <w:abstractNumId w:val="6"/>
  </w:num>
  <w:num w:numId="7">
    <w:abstractNumId w:val="4"/>
  </w:num>
  <w:num w:numId="8">
    <w:abstractNumId w:val="0"/>
  </w:num>
  <w:num w:numId="9">
    <w:abstractNumId w:val="5"/>
  </w:num>
  <w:num w:numId="10">
    <w:abstractNumId w:val="9"/>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40"/>
    <w:rsid w:val="00000448"/>
    <w:rsid w:val="000050F1"/>
    <w:rsid w:val="000200DD"/>
    <w:rsid w:val="0002111B"/>
    <w:rsid w:val="000249F9"/>
    <w:rsid w:val="000400E1"/>
    <w:rsid w:val="00041027"/>
    <w:rsid w:val="00060095"/>
    <w:rsid w:val="00062644"/>
    <w:rsid w:val="00074A42"/>
    <w:rsid w:val="00085A43"/>
    <w:rsid w:val="000874C7"/>
    <w:rsid w:val="00087F5F"/>
    <w:rsid w:val="000941F9"/>
    <w:rsid w:val="000A2F52"/>
    <w:rsid w:val="000A58BA"/>
    <w:rsid w:val="000B572A"/>
    <w:rsid w:val="000C7E93"/>
    <w:rsid w:val="000D2756"/>
    <w:rsid w:val="000F1B97"/>
    <w:rsid w:val="00102CBE"/>
    <w:rsid w:val="001110AA"/>
    <w:rsid w:val="00113AD9"/>
    <w:rsid w:val="00116861"/>
    <w:rsid w:val="0011727B"/>
    <w:rsid w:val="001308E7"/>
    <w:rsid w:val="00137B17"/>
    <w:rsid w:val="00140DB8"/>
    <w:rsid w:val="001478A9"/>
    <w:rsid w:val="00165196"/>
    <w:rsid w:val="00170D7A"/>
    <w:rsid w:val="001948CE"/>
    <w:rsid w:val="001A2B4E"/>
    <w:rsid w:val="001A6F90"/>
    <w:rsid w:val="001D5527"/>
    <w:rsid w:val="001D7FC2"/>
    <w:rsid w:val="001E33F1"/>
    <w:rsid w:val="00207165"/>
    <w:rsid w:val="002141CE"/>
    <w:rsid w:val="00221D68"/>
    <w:rsid w:val="00230AC3"/>
    <w:rsid w:val="0024581E"/>
    <w:rsid w:val="00261638"/>
    <w:rsid w:val="0026229D"/>
    <w:rsid w:val="002653BA"/>
    <w:rsid w:val="00266F69"/>
    <w:rsid w:val="002713BC"/>
    <w:rsid w:val="00280CE9"/>
    <w:rsid w:val="00292501"/>
    <w:rsid w:val="002A249A"/>
    <w:rsid w:val="002A4050"/>
    <w:rsid w:val="002A5FE8"/>
    <w:rsid w:val="002D5668"/>
    <w:rsid w:val="002E0B7D"/>
    <w:rsid w:val="002E1243"/>
    <w:rsid w:val="002F1BF0"/>
    <w:rsid w:val="002F3163"/>
    <w:rsid w:val="002F7E64"/>
    <w:rsid w:val="00314065"/>
    <w:rsid w:val="00317E03"/>
    <w:rsid w:val="00323696"/>
    <w:rsid w:val="003354B0"/>
    <w:rsid w:val="00343912"/>
    <w:rsid w:val="003626FA"/>
    <w:rsid w:val="00374D5C"/>
    <w:rsid w:val="0037656E"/>
    <w:rsid w:val="00393911"/>
    <w:rsid w:val="00395E02"/>
    <w:rsid w:val="003A6369"/>
    <w:rsid w:val="003B6F6C"/>
    <w:rsid w:val="003E1A5B"/>
    <w:rsid w:val="003E392C"/>
    <w:rsid w:val="00400127"/>
    <w:rsid w:val="00405ECB"/>
    <w:rsid w:val="004267B7"/>
    <w:rsid w:val="0043680F"/>
    <w:rsid w:val="00436B46"/>
    <w:rsid w:val="0044058A"/>
    <w:rsid w:val="0044574B"/>
    <w:rsid w:val="0045248F"/>
    <w:rsid w:val="0046751D"/>
    <w:rsid w:val="00473F38"/>
    <w:rsid w:val="00481E0C"/>
    <w:rsid w:val="00486B82"/>
    <w:rsid w:val="00496580"/>
    <w:rsid w:val="0049681C"/>
    <w:rsid w:val="004A680B"/>
    <w:rsid w:val="004B6B48"/>
    <w:rsid w:val="00504A8B"/>
    <w:rsid w:val="00507AAB"/>
    <w:rsid w:val="00512D71"/>
    <w:rsid w:val="00532256"/>
    <w:rsid w:val="005375A1"/>
    <w:rsid w:val="00540282"/>
    <w:rsid w:val="005449D1"/>
    <w:rsid w:val="00550CFA"/>
    <w:rsid w:val="00553598"/>
    <w:rsid w:val="00556FC6"/>
    <w:rsid w:val="00570490"/>
    <w:rsid w:val="00575CAB"/>
    <w:rsid w:val="005763B4"/>
    <w:rsid w:val="0058404D"/>
    <w:rsid w:val="005A4AB8"/>
    <w:rsid w:val="005B189D"/>
    <w:rsid w:val="005B5121"/>
    <w:rsid w:val="005C2874"/>
    <w:rsid w:val="005C566F"/>
    <w:rsid w:val="005C7C66"/>
    <w:rsid w:val="005D5CA4"/>
    <w:rsid w:val="005F6B6B"/>
    <w:rsid w:val="00600596"/>
    <w:rsid w:val="00617B99"/>
    <w:rsid w:val="006249C5"/>
    <w:rsid w:val="006329BE"/>
    <w:rsid w:val="00650A5D"/>
    <w:rsid w:val="00653EA8"/>
    <w:rsid w:val="00654AE4"/>
    <w:rsid w:val="00667370"/>
    <w:rsid w:val="00667731"/>
    <w:rsid w:val="0068523B"/>
    <w:rsid w:val="006872D2"/>
    <w:rsid w:val="00687632"/>
    <w:rsid w:val="00691E79"/>
    <w:rsid w:val="006B59D7"/>
    <w:rsid w:val="006B6D58"/>
    <w:rsid w:val="006B6EDF"/>
    <w:rsid w:val="006D28CA"/>
    <w:rsid w:val="006F397D"/>
    <w:rsid w:val="007020AD"/>
    <w:rsid w:val="00710E25"/>
    <w:rsid w:val="007210CB"/>
    <w:rsid w:val="0072136F"/>
    <w:rsid w:val="00722014"/>
    <w:rsid w:val="00730406"/>
    <w:rsid w:val="007554F1"/>
    <w:rsid w:val="00765E6B"/>
    <w:rsid w:val="00787108"/>
    <w:rsid w:val="007C13A7"/>
    <w:rsid w:val="007C4E27"/>
    <w:rsid w:val="007C5EE3"/>
    <w:rsid w:val="007D78B2"/>
    <w:rsid w:val="007E2AC8"/>
    <w:rsid w:val="007E7E2D"/>
    <w:rsid w:val="007F0AC0"/>
    <w:rsid w:val="007F42F1"/>
    <w:rsid w:val="00824049"/>
    <w:rsid w:val="008503EB"/>
    <w:rsid w:val="00853FB8"/>
    <w:rsid w:val="00854A43"/>
    <w:rsid w:val="0086615B"/>
    <w:rsid w:val="0087541C"/>
    <w:rsid w:val="008829CE"/>
    <w:rsid w:val="00886C95"/>
    <w:rsid w:val="0089353B"/>
    <w:rsid w:val="008B70FB"/>
    <w:rsid w:val="008C49FF"/>
    <w:rsid w:val="008D65C0"/>
    <w:rsid w:val="008F24CB"/>
    <w:rsid w:val="0090153C"/>
    <w:rsid w:val="00910EF0"/>
    <w:rsid w:val="009122F5"/>
    <w:rsid w:val="00912B62"/>
    <w:rsid w:val="009133DA"/>
    <w:rsid w:val="00925BD6"/>
    <w:rsid w:val="0093485C"/>
    <w:rsid w:val="00952E83"/>
    <w:rsid w:val="00954F80"/>
    <w:rsid w:val="00966587"/>
    <w:rsid w:val="00982C0B"/>
    <w:rsid w:val="0099737E"/>
    <w:rsid w:val="009A1661"/>
    <w:rsid w:val="009A1AC9"/>
    <w:rsid w:val="009A6E74"/>
    <w:rsid w:val="009B116E"/>
    <w:rsid w:val="009B2000"/>
    <w:rsid w:val="009C20A2"/>
    <w:rsid w:val="009D634A"/>
    <w:rsid w:val="009F0E5D"/>
    <w:rsid w:val="00A07B8F"/>
    <w:rsid w:val="00A241C7"/>
    <w:rsid w:val="00A27902"/>
    <w:rsid w:val="00A27A4B"/>
    <w:rsid w:val="00A43AB0"/>
    <w:rsid w:val="00A563AA"/>
    <w:rsid w:val="00A648DD"/>
    <w:rsid w:val="00A9381D"/>
    <w:rsid w:val="00A96E7B"/>
    <w:rsid w:val="00AA66CA"/>
    <w:rsid w:val="00AB05EC"/>
    <w:rsid w:val="00AB5E82"/>
    <w:rsid w:val="00AE0B43"/>
    <w:rsid w:val="00AE5C2D"/>
    <w:rsid w:val="00AF2022"/>
    <w:rsid w:val="00AF5580"/>
    <w:rsid w:val="00B11D1F"/>
    <w:rsid w:val="00B353DF"/>
    <w:rsid w:val="00B45B54"/>
    <w:rsid w:val="00B62834"/>
    <w:rsid w:val="00B6568D"/>
    <w:rsid w:val="00B948BF"/>
    <w:rsid w:val="00B94F83"/>
    <w:rsid w:val="00BA5E91"/>
    <w:rsid w:val="00BB0566"/>
    <w:rsid w:val="00BC0E24"/>
    <w:rsid w:val="00BC79A9"/>
    <w:rsid w:val="00BE255C"/>
    <w:rsid w:val="00C137E5"/>
    <w:rsid w:val="00C1458A"/>
    <w:rsid w:val="00C20D16"/>
    <w:rsid w:val="00C24F55"/>
    <w:rsid w:val="00C35229"/>
    <w:rsid w:val="00C36889"/>
    <w:rsid w:val="00C37406"/>
    <w:rsid w:val="00C5341B"/>
    <w:rsid w:val="00C57862"/>
    <w:rsid w:val="00C60FAA"/>
    <w:rsid w:val="00C87AA8"/>
    <w:rsid w:val="00CA2702"/>
    <w:rsid w:val="00CA5B33"/>
    <w:rsid w:val="00CB17C4"/>
    <w:rsid w:val="00CF606C"/>
    <w:rsid w:val="00D001F0"/>
    <w:rsid w:val="00D04117"/>
    <w:rsid w:val="00D04B98"/>
    <w:rsid w:val="00D075CA"/>
    <w:rsid w:val="00D61D41"/>
    <w:rsid w:val="00D7005B"/>
    <w:rsid w:val="00D81B64"/>
    <w:rsid w:val="00D8690C"/>
    <w:rsid w:val="00D9152A"/>
    <w:rsid w:val="00DA1CA4"/>
    <w:rsid w:val="00DA39CF"/>
    <w:rsid w:val="00DB105D"/>
    <w:rsid w:val="00DB6939"/>
    <w:rsid w:val="00DB6B85"/>
    <w:rsid w:val="00DC1898"/>
    <w:rsid w:val="00DE1B21"/>
    <w:rsid w:val="00DF5CD4"/>
    <w:rsid w:val="00E04C7A"/>
    <w:rsid w:val="00E30A75"/>
    <w:rsid w:val="00E31FFD"/>
    <w:rsid w:val="00E3573A"/>
    <w:rsid w:val="00E45E88"/>
    <w:rsid w:val="00E51385"/>
    <w:rsid w:val="00E51D23"/>
    <w:rsid w:val="00E572C4"/>
    <w:rsid w:val="00E67240"/>
    <w:rsid w:val="00E71711"/>
    <w:rsid w:val="00E75EA8"/>
    <w:rsid w:val="00E87508"/>
    <w:rsid w:val="00E96B8A"/>
    <w:rsid w:val="00EA4800"/>
    <w:rsid w:val="00EB1F44"/>
    <w:rsid w:val="00ED348E"/>
    <w:rsid w:val="00EE04F8"/>
    <w:rsid w:val="00EE0F0F"/>
    <w:rsid w:val="00EE7B54"/>
    <w:rsid w:val="00EF3813"/>
    <w:rsid w:val="00F060E8"/>
    <w:rsid w:val="00F26FDA"/>
    <w:rsid w:val="00F27981"/>
    <w:rsid w:val="00F3060E"/>
    <w:rsid w:val="00F3165C"/>
    <w:rsid w:val="00F45CB4"/>
    <w:rsid w:val="00F5178C"/>
    <w:rsid w:val="00F62737"/>
    <w:rsid w:val="00FA22AF"/>
    <w:rsid w:val="00FB612E"/>
    <w:rsid w:val="00FB746C"/>
    <w:rsid w:val="00FC66F9"/>
    <w:rsid w:val="00FD038F"/>
    <w:rsid w:val="00FD4ED6"/>
    <w:rsid w:val="00FE1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865021-1210-4F89-B5EA-32334D8D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40"/>
    <w:rPr>
      <w:lang w:val="en-US"/>
    </w:rPr>
  </w:style>
  <w:style w:type="paragraph" w:styleId="Heading1">
    <w:name w:val="heading 1"/>
    <w:basedOn w:val="Normal"/>
    <w:next w:val="Normal"/>
    <w:qFormat/>
    <w:rsid w:val="00E67240"/>
    <w:pPr>
      <w:keepNext/>
      <w:jc w:val="center"/>
      <w:outlineLvl w:val="0"/>
    </w:pPr>
    <w:rPr>
      <w:b/>
    </w:rPr>
  </w:style>
  <w:style w:type="paragraph" w:styleId="Heading2">
    <w:name w:val="heading 2"/>
    <w:basedOn w:val="Normal"/>
    <w:next w:val="Normal"/>
    <w:qFormat/>
    <w:rsid w:val="00E67240"/>
    <w:pPr>
      <w:keepNext/>
      <w:jc w:val="center"/>
      <w:outlineLvl w:val="1"/>
    </w:pPr>
    <w:rPr>
      <w:b/>
      <w:u w:val="single"/>
    </w:rPr>
  </w:style>
  <w:style w:type="paragraph" w:styleId="Heading3">
    <w:name w:val="heading 3"/>
    <w:basedOn w:val="Normal"/>
    <w:next w:val="Normal"/>
    <w:link w:val="Heading3Char"/>
    <w:semiHidden/>
    <w:unhideWhenUsed/>
    <w:qFormat/>
    <w:rsid w:val="007213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7240"/>
    <w:pPr>
      <w:jc w:val="center"/>
    </w:pPr>
    <w:rPr>
      <w:rFonts w:ascii="Garamond" w:hAnsi="Garamond"/>
      <w:i/>
      <w:sz w:val="40"/>
    </w:rPr>
  </w:style>
  <w:style w:type="paragraph" w:styleId="DocumentMap">
    <w:name w:val="Document Map"/>
    <w:basedOn w:val="Normal"/>
    <w:semiHidden/>
    <w:rsid w:val="00E67240"/>
    <w:pPr>
      <w:shd w:val="clear" w:color="auto" w:fill="000080"/>
    </w:pPr>
    <w:rPr>
      <w:rFonts w:ascii="Tahoma" w:hAnsi="Tahoma" w:cs="Tahoma"/>
    </w:rPr>
  </w:style>
  <w:style w:type="paragraph" w:styleId="BalloonText">
    <w:name w:val="Balloon Text"/>
    <w:basedOn w:val="Normal"/>
    <w:link w:val="BalloonTextChar"/>
    <w:rsid w:val="00AB5E82"/>
    <w:rPr>
      <w:rFonts w:ascii="Tahoma" w:hAnsi="Tahoma" w:cs="Tahoma"/>
      <w:sz w:val="16"/>
      <w:szCs w:val="16"/>
    </w:rPr>
  </w:style>
  <w:style w:type="character" w:customStyle="1" w:styleId="BalloonTextChar">
    <w:name w:val="Balloon Text Char"/>
    <w:basedOn w:val="DefaultParagraphFont"/>
    <w:link w:val="BalloonText"/>
    <w:rsid w:val="00AB5E82"/>
    <w:rPr>
      <w:rFonts w:ascii="Tahoma" w:hAnsi="Tahoma" w:cs="Tahoma"/>
      <w:sz w:val="16"/>
      <w:szCs w:val="16"/>
      <w:lang w:val="en-US"/>
    </w:rPr>
  </w:style>
  <w:style w:type="paragraph" w:styleId="ListParagraph">
    <w:name w:val="List Paragraph"/>
    <w:basedOn w:val="Normal"/>
    <w:uiPriority w:val="34"/>
    <w:qFormat/>
    <w:rsid w:val="002653BA"/>
    <w:pPr>
      <w:ind w:left="720"/>
      <w:contextualSpacing/>
    </w:pPr>
  </w:style>
  <w:style w:type="character" w:styleId="Hyperlink">
    <w:name w:val="Hyperlink"/>
    <w:basedOn w:val="DefaultParagraphFont"/>
    <w:uiPriority w:val="99"/>
    <w:unhideWhenUsed/>
    <w:rsid w:val="001948CE"/>
    <w:rPr>
      <w:color w:val="0000FF"/>
      <w:u w:val="single"/>
    </w:rPr>
  </w:style>
  <w:style w:type="paragraph" w:styleId="PlainText">
    <w:name w:val="Plain Text"/>
    <w:basedOn w:val="Normal"/>
    <w:link w:val="PlainTextChar"/>
    <w:uiPriority w:val="99"/>
    <w:unhideWhenUsed/>
    <w:rsid w:val="00E31FFD"/>
    <w:rPr>
      <w:rFonts w:ascii="Calibri" w:eastAsiaTheme="minorHAnsi" w:hAnsi="Calibri"/>
      <w:sz w:val="22"/>
      <w:szCs w:val="22"/>
      <w:lang w:val="en-GB" w:eastAsia="en-US"/>
    </w:rPr>
  </w:style>
  <w:style w:type="character" w:customStyle="1" w:styleId="PlainTextChar">
    <w:name w:val="Plain Text Char"/>
    <w:basedOn w:val="DefaultParagraphFont"/>
    <w:link w:val="PlainText"/>
    <w:uiPriority w:val="99"/>
    <w:rsid w:val="00E31FFD"/>
    <w:rPr>
      <w:rFonts w:ascii="Calibri" w:eastAsiaTheme="minorHAnsi" w:hAnsi="Calibri"/>
      <w:sz w:val="22"/>
      <w:szCs w:val="22"/>
      <w:lang w:eastAsia="en-US"/>
    </w:rPr>
  </w:style>
  <w:style w:type="character" w:customStyle="1" w:styleId="Heading3Char">
    <w:name w:val="Heading 3 Char"/>
    <w:basedOn w:val="DefaultParagraphFont"/>
    <w:link w:val="Heading3"/>
    <w:semiHidden/>
    <w:rsid w:val="0072136F"/>
    <w:rPr>
      <w:rFonts w:asciiTheme="majorHAnsi" w:eastAsiaTheme="majorEastAsia" w:hAnsiTheme="majorHAnsi" w:cstheme="majorBidi"/>
      <w:b/>
      <w:bCs/>
      <w:color w:val="4F81BD" w:themeColor="accent1"/>
      <w:lang w:val="en-US"/>
    </w:rPr>
  </w:style>
  <w:style w:type="paragraph" w:styleId="Footer">
    <w:name w:val="footer"/>
    <w:basedOn w:val="Normal"/>
    <w:link w:val="FooterChar"/>
    <w:uiPriority w:val="99"/>
    <w:unhideWhenUsed/>
    <w:rsid w:val="0072136F"/>
    <w:pPr>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72136F"/>
    <w:rPr>
      <w:rFonts w:asciiTheme="minorHAnsi" w:eastAsiaTheme="minorHAnsi" w:hAnsiTheme="minorHAnsi" w:cstheme="minorBidi"/>
      <w:sz w:val="22"/>
      <w:szCs w:val="22"/>
      <w:lang w:eastAsia="en-US"/>
    </w:rPr>
  </w:style>
  <w:style w:type="paragraph" w:customStyle="1" w:styleId="Default">
    <w:name w:val="Default"/>
    <w:rsid w:val="0072136F"/>
    <w:pPr>
      <w:autoSpaceDE w:val="0"/>
      <w:autoSpaceDN w:val="0"/>
      <w:adjustRightInd w:val="0"/>
    </w:pPr>
    <w:rPr>
      <w:rFonts w:ascii="Calibri" w:eastAsiaTheme="minorHAnsi" w:hAnsi="Calibri" w:cs="Calibri"/>
      <w:color w:val="000000"/>
      <w:sz w:val="24"/>
      <w:szCs w:val="24"/>
      <w:lang w:eastAsia="en-US"/>
    </w:rPr>
  </w:style>
  <w:style w:type="character" w:styleId="PageNumber">
    <w:name w:val="page number"/>
    <w:basedOn w:val="DefaultParagraphFont"/>
    <w:uiPriority w:val="99"/>
    <w:unhideWhenUsed/>
    <w:rsid w:val="0072136F"/>
  </w:style>
  <w:style w:type="character" w:styleId="HTMLCite">
    <w:name w:val="HTML Cite"/>
    <w:basedOn w:val="DefaultParagraphFont"/>
    <w:uiPriority w:val="99"/>
    <w:unhideWhenUsed/>
    <w:rsid w:val="001E3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4344">
      <w:bodyDiv w:val="1"/>
      <w:marLeft w:val="0"/>
      <w:marRight w:val="0"/>
      <w:marTop w:val="0"/>
      <w:marBottom w:val="0"/>
      <w:divBdr>
        <w:top w:val="none" w:sz="0" w:space="0" w:color="auto"/>
        <w:left w:val="none" w:sz="0" w:space="0" w:color="auto"/>
        <w:bottom w:val="none" w:sz="0" w:space="0" w:color="auto"/>
        <w:right w:val="none" w:sz="0" w:space="0" w:color="auto"/>
      </w:divBdr>
    </w:div>
    <w:div w:id="391660948">
      <w:bodyDiv w:val="1"/>
      <w:marLeft w:val="0"/>
      <w:marRight w:val="0"/>
      <w:marTop w:val="0"/>
      <w:marBottom w:val="0"/>
      <w:divBdr>
        <w:top w:val="none" w:sz="0" w:space="0" w:color="auto"/>
        <w:left w:val="none" w:sz="0" w:space="0" w:color="auto"/>
        <w:bottom w:val="none" w:sz="0" w:space="0" w:color="auto"/>
        <w:right w:val="none" w:sz="0" w:space="0" w:color="auto"/>
      </w:divBdr>
    </w:div>
    <w:div w:id="1415199333">
      <w:bodyDiv w:val="1"/>
      <w:marLeft w:val="0"/>
      <w:marRight w:val="0"/>
      <w:marTop w:val="0"/>
      <w:marBottom w:val="0"/>
      <w:divBdr>
        <w:top w:val="none" w:sz="0" w:space="0" w:color="auto"/>
        <w:left w:val="none" w:sz="0" w:space="0" w:color="auto"/>
        <w:bottom w:val="none" w:sz="0" w:space="0" w:color="auto"/>
        <w:right w:val="none" w:sz="0" w:space="0" w:color="auto"/>
      </w:divBdr>
    </w:div>
    <w:div w:id="14984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http://reports01.manuscriptcentral.com:80/cognos10/skins/corporate/qs/images/mnu_sort_asc.gif"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twitter.com/FrenchHistory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enchhistorysociety.co.uk/"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izabeth\AppData\Local\Temp\2.%20New%20Manuscript%20Types%20Received%20in%20Previous%205%20Years-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2"/>
      <c:hPercent val="88"/>
      <c:rotY val="22"/>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38276688412654"/>
          <c:y val="0.04"/>
          <c:w val="0.62324710284544005"/>
          <c:h val="0.76857142857142902"/>
        </c:manualLayout>
      </c:layout>
      <c:bar3DChart>
        <c:barDir val="col"/>
        <c:grouping val="stacked"/>
        <c:varyColors val="0"/>
        <c:ser>
          <c:idx val="0"/>
          <c:order val="0"/>
          <c:tx>
            <c:v>Article</c:v>
          </c:tx>
          <c:spPr>
            <a:solidFill>
              <a:srgbClr val="333399"/>
            </a:solidFill>
            <a:ln w="25400">
              <a:noFill/>
            </a:ln>
          </c:spPr>
          <c:invertIfNegative val="0"/>
          <c:cat>
            <c:strLit>
              <c:ptCount val="6"/>
              <c:pt idx="0">
                <c:v>2008</c:v>
              </c:pt>
              <c:pt idx="1">
                <c:v>2009</c:v>
              </c:pt>
              <c:pt idx="2">
                <c:v>2010</c:v>
              </c:pt>
              <c:pt idx="3">
                <c:v>2011</c:v>
              </c:pt>
              <c:pt idx="4">
                <c:v>2012</c:v>
              </c:pt>
              <c:pt idx="5">
                <c:v>2013</c:v>
              </c:pt>
            </c:strLit>
          </c:cat>
          <c:val>
            <c:numLit>
              <c:formatCode>General</c:formatCode>
              <c:ptCount val="6"/>
              <c:pt idx="0">
                <c:v>37</c:v>
              </c:pt>
              <c:pt idx="1">
                <c:v>36</c:v>
              </c:pt>
              <c:pt idx="2">
                <c:v>40</c:v>
              </c:pt>
              <c:pt idx="3">
                <c:v>39</c:v>
              </c:pt>
              <c:pt idx="4">
                <c:v>42</c:v>
              </c:pt>
              <c:pt idx="5">
                <c:v>39</c:v>
              </c:pt>
            </c:numLit>
          </c:val>
        </c:ser>
        <c:ser>
          <c:idx val="1"/>
          <c:order val="1"/>
          <c:tx>
            <c:v>Book Review</c:v>
          </c:tx>
          <c:spPr>
            <a:solidFill>
              <a:srgbClr val="CC9933"/>
            </a:solidFill>
            <a:ln w="25400">
              <a:noFill/>
            </a:ln>
          </c:spPr>
          <c:invertIfNegative val="0"/>
          <c:cat>
            <c:strLit>
              <c:ptCount val="6"/>
              <c:pt idx="0">
                <c:v>2008</c:v>
              </c:pt>
              <c:pt idx="1">
                <c:v>2009</c:v>
              </c:pt>
              <c:pt idx="2">
                <c:v>2010</c:v>
              </c:pt>
              <c:pt idx="3">
                <c:v>2011</c:v>
              </c:pt>
              <c:pt idx="4">
                <c:v>2012</c:v>
              </c:pt>
              <c:pt idx="5">
                <c:v>2013</c:v>
              </c:pt>
            </c:strLit>
          </c:cat>
          <c:val>
            <c:numLit>
              <c:formatCode>General</c:formatCode>
              <c:ptCount val="6"/>
              <c:pt idx="0">
                <c:v>29</c:v>
              </c:pt>
              <c:pt idx="1">
                <c:v>29</c:v>
              </c:pt>
              <c:pt idx="2">
                <c:v>39</c:v>
              </c:pt>
              <c:pt idx="3">
                <c:v>51</c:v>
              </c:pt>
              <c:pt idx="4">
                <c:v>138</c:v>
              </c:pt>
              <c:pt idx="5">
                <c:v>79</c:v>
              </c:pt>
            </c:numLit>
          </c:val>
        </c:ser>
        <c:ser>
          <c:idx val="2"/>
          <c:order val="2"/>
          <c:tx>
            <c:v>Other</c:v>
          </c:tx>
          <c:spPr>
            <a:solidFill>
              <a:srgbClr val="993333"/>
            </a:solidFill>
            <a:ln w="25400">
              <a:noFill/>
            </a:ln>
          </c:spPr>
          <c:invertIfNegative val="0"/>
          <c:cat>
            <c:strLit>
              <c:ptCount val="6"/>
              <c:pt idx="0">
                <c:v>2008</c:v>
              </c:pt>
              <c:pt idx="1">
                <c:v>2009</c:v>
              </c:pt>
              <c:pt idx="2">
                <c:v>2010</c:v>
              </c:pt>
              <c:pt idx="3">
                <c:v>2011</c:v>
              </c:pt>
              <c:pt idx="4">
                <c:v>2012</c:v>
              </c:pt>
              <c:pt idx="5">
                <c:v>2013</c:v>
              </c:pt>
            </c:strLit>
          </c:cat>
          <c:val>
            <c:numLit>
              <c:formatCode>General</c:formatCode>
              <c:ptCount val="6"/>
              <c:pt idx="0">
                <c:v>1</c:v>
              </c:pt>
              <c:pt idx="1">
                <c:v>1</c:v>
              </c:pt>
              <c:pt idx="2">
                <c:v>4</c:v>
              </c:pt>
              <c:pt idx="3">
                <c:v>6</c:v>
              </c:pt>
              <c:pt idx="4">
                <c:v>4</c:v>
              </c:pt>
              <c:pt idx="5">
                <c:v>5</c:v>
              </c:pt>
            </c:numLit>
          </c:val>
        </c:ser>
        <c:ser>
          <c:idx val="3"/>
          <c:order val="3"/>
          <c:tx>
            <c:v>Review Article</c:v>
          </c:tx>
          <c:spPr>
            <a:solidFill>
              <a:srgbClr val="CCCC00"/>
            </a:solidFill>
            <a:ln w="25400">
              <a:noFill/>
            </a:ln>
          </c:spPr>
          <c:invertIfNegative val="0"/>
          <c:cat>
            <c:strLit>
              <c:ptCount val="6"/>
              <c:pt idx="0">
                <c:v>2008</c:v>
              </c:pt>
              <c:pt idx="1">
                <c:v>2009</c:v>
              </c:pt>
              <c:pt idx="2">
                <c:v>2010</c:v>
              </c:pt>
              <c:pt idx="3">
                <c:v>2011</c:v>
              </c:pt>
              <c:pt idx="4">
                <c:v>2012</c:v>
              </c:pt>
              <c:pt idx="5">
                <c:v>2013</c:v>
              </c:pt>
            </c:strLit>
          </c:cat>
          <c:val>
            <c:numLit>
              <c:formatCode>General</c:formatCode>
              <c:ptCount val="6"/>
              <c:pt idx="0">
                <c:v>#N/A</c:v>
              </c:pt>
              <c:pt idx="1">
                <c:v>#N/A</c:v>
              </c:pt>
              <c:pt idx="2">
                <c:v>3</c:v>
              </c:pt>
              <c:pt idx="3">
                <c:v>#N/A</c:v>
              </c:pt>
              <c:pt idx="4">
                <c:v>#N/A</c:v>
              </c:pt>
              <c:pt idx="5">
                <c:v>1</c:v>
              </c:pt>
            </c:numLit>
          </c:val>
        </c:ser>
        <c:dLbls>
          <c:showLegendKey val="0"/>
          <c:showVal val="0"/>
          <c:showCatName val="0"/>
          <c:showSerName val="0"/>
          <c:showPercent val="0"/>
          <c:showBubbleSize val="0"/>
        </c:dLbls>
        <c:gapWidth val="150"/>
        <c:shape val="box"/>
        <c:axId val="-381496432"/>
        <c:axId val="-381485552"/>
        <c:axId val="0"/>
      </c:bar3DChart>
      <c:catAx>
        <c:axId val="-381496432"/>
        <c:scaling>
          <c:orientation val="minMax"/>
        </c:scaling>
        <c:delete val="0"/>
        <c:axPos val="b"/>
        <c:title>
          <c:tx>
            <c:rich>
              <a:bodyPr/>
              <a:lstStyle/>
              <a:p>
                <a:pPr>
                  <a:defRPr sz="1000" b="1" i="0" u="none" strike="noStrike" baseline="0">
                    <a:solidFill>
                      <a:srgbClr val="000000"/>
                    </a:solidFill>
                    <a:latin typeface="Tahoma"/>
                    <a:ea typeface="Tahoma"/>
                    <a:cs typeface="Tahoma"/>
                  </a:defRPr>
                </a:pPr>
                <a:r>
                  <a:rPr lang="en-GB"/>
                  <a:t>Submission Year</a:t>
                </a:r>
              </a:p>
            </c:rich>
          </c:tx>
          <c:layout>
            <c:manualLayout>
              <c:xMode val="edge"/>
              <c:yMode val="edge"/>
              <c:x val="0.32264560629619199"/>
              <c:y val="0.88"/>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00" b="0" i="0" u="none" strike="noStrike" baseline="0">
                <a:solidFill>
                  <a:srgbClr val="000000"/>
                </a:solidFill>
                <a:latin typeface="Tahoma"/>
                <a:ea typeface="Tahoma"/>
                <a:cs typeface="Tahoma"/>
              </a:defRPr>
            </a:pPr>
            <a:endParaRPr lang="en-US"/>
          </a:p>
        </c:txPr>
        <c:crossAx val="-381485552"/>
        <c:crosses val="autoZero"/>
        <c:auto val="0"/>
        <c:lblAlgn val="ctr"/>
        <c:lblOffset val="100"/>
        <c:tickLblSkip val="1"/>
        <c:tickMarkSkip val="1"/>
        <c:noMultiLvlLbl val="0"/>
      </c:catAx>
      <c:valAx>
        <c:axId val="-381485552"/>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Tahoma"/>
                    <a:ea typeface="Tahoma"/>
                    <a:cs typeface="Tahoma"/>
                  </a:defRPr>
                </a:pPr>
                <a:r>
                  <a:rPr lang="en-GB"/>
                  <a:t># of Manuscripts</a:t>
                </a:r>
              </a:p>
            </c:rich>
          </c:tx>
          <c:layout>
            <c:manualLayout>
              <c:xMode val="edge"/>
              <c:yMode val="edge"/>
              <c:x val="4.2084209516894698E-2"/>
              <c:y val="0.29142857142857198"/>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ahoma"/>
                <a:ea typeface="Tahoma"/>
                <a:cs typeface="Tahoma"/>
              </a:defRPr>
            </a:pPr>
            <a:endParaRPr lang="en-US"/>
          </a:p>
        </c:txPr>
        <c:crossAx val="-381496432"/>
        <c:crosses val="autoZero"/>
        <c:crossBetween val="between"/>
      </c:valAx>
      <c:spPr>
        <a:noFill/>
        <a:ln w="25400">
          <a:noFill/>
        </a:ln>
      </c:spPr>
    </c:plotArea>
    <c:legend>
      <c:legendPos val="r"/>
      <c:layout>
        <c:manualLayout>
          <c:xMode val="edge"/>
          <c:yMode val="edge"/>
          <c:x val="0.78356790100503704"/>
          <c:y val="0.38"/>
          <c:w val="0.202405007676494"/>
          <c:h val="0.24285714285714299"/>
        </c:manualLayout>
      </c:layout>
      <c:overlay val="0"/>
      <c:spPr>
        <a:noFill/>
        <a:ln w="25400">
          <a:noFill/>
        </a:ln>
      </c:spPr>
      <c:txPr>
        <a:bodyPr/>
        <a:lstStyle/>
        <a:p>
          <a:pPr>
            <a:defRPr sz="920" b="0" i="0" u="none" strike="noStrike" baseline="0">
              <a:solidFill>
                <a:srgbClr val="000000"/>
              </a:solidFill>
              <a:latin typeface="Tahoma"/>
              <a:ea typeface="Tahoma"/>
              <a:cs typeface="Tahoma"/>
            </a:defRPr>
          </a:pPr>
          <a:endParaRPr lang="en-US"/>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2FAF-F460-485D-8AB1-2515FDE7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mgr1</dc:creator>
  <cp:lastModifiedBy>Andrew Smith</cp:lastModifiedBy>
  <cp:revision>2</cp:revision>
  <dcterms:created xsi:type="dcterms:W3CDTF">2016-01-15T11:50:00Z</dcterms:created>
  <dcterms:modified xsi:type="dcterms:W3CDTF">2016-01-15T11:50:00Z</dcterms:modified>
</cp:coreProperties>
</file>